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23903" w14:textId="77777777" w:rsidR="00327903" w:rsidRPr="00181EBF" w:rsidRDefault="00E7769D">
      <w:pPr>
        <w:spacing w:before="160"/>
        <w:jc w:val="center"/>
        <w:rPr>
          <w:rFonts w:ascii="Times New Roman" w:hAnsi="Times New Roman" w:cs="Times New Roman"/>
          <w:color w:val="FF0000"/>
        </w:rPr>
      </w:pPr>
      <w:r w:rsidRPr="00181EBF">
        <w:rPr>
          <w:rFonts w:ascii="Times New Roman" w:eastAsia="Calibri" w:hAnsi="Times New Roman" w:cs="Times New Roman"/>
          <w:b/>
          <w:color w:val="FF0000"/>
          <w:sz w:val="19"/>
        </w:rPr>
        <w:t>RESEARCH REPORT</w:t>
      </w:r>
    </w:p>
    <w:p w14:paraId="34A2096C" w14:textId="77777777" w:rsidR="00327903" w:rsidRPr="00181EBF" w:rsidRDefault="00E7769D">
      <w:pPr>
        <w:keepNext/>
        <w:spacing w:after="180"/>
        <w:jc w:val="center"/>
        <w:rPr>
          <w:rFonts w:ascii="Times New Roman" w:hAnsi="Times New Roman" w:cs="Times New Roman"/>
        </w:rPr>
      </w:pPr>
      <w:r w:rsidRPr="00181EBF">
        <w:rPr>
          <w:rFonts w:ascii="Times New Roman" w:eastAsia="Calibri" w:hAnsi="Times New Roman" w:cs="Times New Roman"/>
          <w:b/>
          <w:color w:val="203748"/>
          <w:sz w:val="36"/>
        </w:rPr>
        <w:t>The Intersection of Ritual and Dance: Performance and Cultural Continuity in Thrace, with a Case Study of Cemal Oyunu</w:t>
      </w:r>
    </w:p>
    <w:p w14:paraId="47504C46" w14:textId="77777777" w:rsidR="00327903" w:rsidRPr="00181EBF" w:rsidRDefault="00E7769D">
      <w:pPr>
        <w:spacing w:after="60"/>
        <w:jc w:val="center"/>
        <w:rPr>
          <w:rFonts w:ascii="Times New Roman" w:hAnsi="Times New Roman" w:cs="Times New Roman"/>
        </w:rPr>
      </w:pPr>
      <w:r w:rsidRPr="00181EBF">
        <w:rPr>
          <w:rFonts w:ascii="Times New Roman" w:eastAsia="Calibri" w:hAnsi="Times New Roman" w:cs="Times New Roman"/>
          <w:b/>
          <w:sz w:val="23"/>
        </w:rPr>
        <w:t>Gözde Nur ERCAN</w:t>
      </w:r>
    </w:p>
    <w:p w14:paraId="6E8B03AD" w14:textId="77777777" w:rsidR="00327903" w:rsidRPr="00181EBF" w:rsidRDefault="00E7769D">
      <w:pPr>
        <w:spacing w:after="280"/>
        <w:jc w:val="center"/>
        <w:rPr>
          <w:rFonts w:ascii="Times New Roman" w:hAnsi="Times New Roman" w:cs="Times New Roman"/>
        </w:rPr>
      </w:pPr>
      <w:r w:rsidRPr="00181EBF">
        <w:rPr>
          <w:rFonts w:ascii="Times New Roman" w:eastAsia="Calibri" w:hAnsi="Times New Roman" w:cs="Times New Roman"/>
          <w:color w:val="555555"/>
          <w:sz w:val="19"/>
        </w:rPr>
        <w:t xml:space="preserve">Department of Archaeology, </w:t>
      </w:r>
      <w:proofErr w:type="spellStart"/>
      <w:r w:rsidRPr="00181EBF">
        <w:rPr>
          <w:rFonts w:ascii="Times New Roman" w:eastAsia="Calibri" w:hAnsi="Times New Roman" w:cs="Times New Roman"/>
          <w:color w:val="555555"/>
          <w:sz w:val="19"/>
        </w:rPr>
        <w:t>Tekirdağ</w:t>
      </w:r>
      <w:proofErr w:type="spellEnd"/>
      <w:r w:rsidRPr="00181EBF">
        <w:rPr>
          <w:rFonts w:ascii="Times New Roman" w:eastAsia="Calibri" w:hAnsi="Times New Roman" w:cs="Times New Roman"/>
          <w:color w:val="555555"/>
          <w:sz w:val="19"/>
        </w:rPr>
        <w:t xml:space="preserve"> </w:t>
      </w:r>
      <w:proofErr w:type="spellStart"/>
      <w:r w:rsidRPr="00181EBF">
        <w:rPr>
          <w:rFonts w:ascii="Times New Roman" w:eastAsia="Calibri" w:hAnsi="Times New Roman" w:cs="Times New Roman"/>
          <w:color w:val="555555"/>
          <w:sz w:val="19"/>
        </w:rPr>
        <w:t>Namık</w:t>
      </w:r>
      <w:proofErr w:type="spellEnd"/>
      <w:r w:rsidRPr="00181EBF">
        <w:rPr>
          <w:rFonts w:ascii="Times New Roman" w:eastAsia="Calibri" w:hAnsi="Times New Roman" w:cs="Times New Roman"/>
          <w:color w:val="555555"/>
          <w:sz w:val="19"/>
        </w:rPr>
        <w:t xml:space="preserve"> Kemal University, </w:t>
      </w:r>
      <w:proofErr w:type="spellStart"/>
      <w:r w:rsidRPr="00181EBF">
        <w:rPr>
          <w:rFonts w:ascii="Times New Roman" w:eastAsia="Calibri" w:hAnsi="Times New Roman" w:cs="Times New Roman"/>
          <w:color w:val="555555"/>
          <w:sz w:val="19"/>
        </w:rPr>
        <w:t>Türkiye</w:t>
      </w:r>
      <w:proofErr w:type="spellEnd"/>
      <w:r w:rsidRPr="00181EBF">
        <w:rPr>
          <w:rFonts w:ascii="Times New Roman" w:eastAsia="Calibri" w:hAnsi="Times New Roman" w:cs="Times New Roman"/>
          <w:color w:val="555555"/>
          <w:sz w:val="19"/>
        </w:rPr>
        <w:br/>
        <w:t>Ballet Educator | International Dance Council Member No. 42912</w:t>
      </w:r>
      <w:r w:rsidRPr="00181EBF">
        <w:rPr>
          <w:rFonts w:ascii="Times New Roman" w:eastAsia="Calibri" w:hAnsi="Times New Roman" w:cs="Times New Roman"/>
          <w:color w:val="555555"/>
          <w:sz w:val="19"/>
        </w:rPr>
        <w:br/>
        <w:t>ORCID: 0009-0008-6704-6982</w:t>
      </w:r>
    </w:p>
    <w:p w14:paraId="6618F36A" w14:textId="77777777" w:rsidR="00327903" w:rsidRPr="00181EBF" w:rsidRDefault="00E7769D">
      <w:pPr>
        <w:keepNext/>
        <w:spacing w:after="100"/>
        <w:rPr>
          <w:rFonts w:ascii="Times New Roman" w:hAnsi="Times New Roman" w:cs="Times New Roman"/>
          <w:color w:val="FF0000"/>
        </w:rPr>
      </w:pPr>
      <w:r w:rsidRPr="00181EBF">
        <w:rPr>
          <w:rFonts w:ascii="Times New Roman" w:eastAsia="Calibri" w:hAnsi="Times New Roman" w:cs="Times New Roman"/>
          <w:b/>
          <w:color w:val="FF0000"/>
          <w:sz w:val="24"/>
        </w:rPr>
        <w:t>Abstract</w:t>
      </w:r>
    </w:p>
    <w:p w14:paraId="663F152E" w14:textId="77777777" w:rsidR="00327903" w:rsidRPr="00181EBF" w:rsidRDefault="00E7769D">
      <w:pPr>
        <w:pStyle w:val="Abstract"/>
        <w:rPr>
          <w:rFonts w:ascii="Times New Roman" w:hAnsi="Times New Roman" w:cs="Times New Roman"/>
        </w:rPr>
      </w:pPr>
      <w:r w:rsidRPr="00181EBF">
        <w:rPr>
          <w:rFonts w:ascii="Times New Roman" w:hAnsi="Times New Roman" w:cs="Times New Roman"/>
        </w:rPr>
        <w:t xml:space="preserve">This paper examines Cemal Oyunu, a seasonal masked ritual documented in rural Thrace, as a form of ritual dance and embodied social practice. Based on ongoing field documentation in villages of </w:t>
      </w:r>
      <w:proofErr w:type="spellStart"/>
      <w:r w:rsidRPr="00181EBF">
        <w:rPr>
          <w:rFonts w:ascii="Times New Roman" w:hAnsi="Times New Roman" w:cs="Times New Roman"/>
        </w:rPr>
        <w:t>Tekirdağ</w:t>
      </w:r>
      <w:proofErr w:type="spellEnd"/>
      <w:r w:rsidRPr="00181EBF">
        <w:rPr>
          <w:rFonts w:ascii="Times New Roman" w:hAnsi="Times New Roman" w:cs="Times New Roman"/>
        </w:rPr>
        <w:t>, including oral-history interviews, local narratives, and photographs of ritual objects, the study focuses on movement, sound, disguise, processional circulation, temporary role transformation, and collective participation. The analysis uses performance, liminality, and embodied memory as interpretive concepts while maintaining a clear methodological limit: contemporary practice is not treated as proof of direct continuity from prehistory. Instead, Cemal Oyunu is used as an ethnographic anchor for considering how ritual action is produced through bodies and objects, and how movement may leave material traces relevant to archaeological interpretation. The paper argues that the ritual's social force lies in the interaction of body, costume, rhythm, sound, village space, and communal memory.</w:t>
      </w:r>
    </w:p>
    <w:p w14:paraId="1D1C603A" w14:textId="77777777" w:rsidR="00327903" w:rsidRPr="00181EBF" w:rsidRDefault="00E7769D">
      <w:pPr>
        <w:pStyle w:val="Abstract"/>
        <w:spacing w:after="160"/>
        <w:rPr>
          <w:rFonts w:ascii="Times New Roman" w:hAnsi="Times New Roman" w:cs="Times New Roman"/>
        </w:rPr>
      </w:pPr>
      <w:r w:rsidRPr="00181EBF">
        <w:rPr>
          <w:rFonts w:ascii="Times New Roman" w:eastAsia="Calibri" w:hAnsi="Times New Roman" w:cs="Times New Roman"/>
          <w:b/>
        </w:rPr>
        <w:t xml:space="preserve">Keywords: </w:t>
      </w:r>
      <w:r w:rsidRPr="00181EBF">
        <w:rPr>
          <w:rFonts w:ascii="Times New Roman" w:eastAsia="Calibri" w:hAnsi="Times New Roman" w:cs="Times New Roman"/>
        </w:rPr>
        <w:t>Cemal Oyunu; ritual dance; embodied memory; liminality; ethnoarchaeology; Thrace</w:t>
      </w:r>
    </w:p>
    <w:p w14:paraId="64A454BB" w14:textId="77777777" w:rsidR="00327903" w:rsidRPr="00181EBF" w:rsidRDefault="00E7769D">
      <w:pPr>
        <w:pStyle w:val="PublicationNote"/>
        <w:rPr>
          <w:rFonts w:ascii="Times New Roman" w:hAnsi="Times New Roman" w:cs="Times New Roman"/>
        </w:rPr>
      </w:pPr>
      <w:r w:rsidRPr="00181EBF">
        <w:rPr>
          <w:rFonts w:ascii="Times New Roman" w:eastAsia="Calibri" w:hAnsi="Times New Roman" w:cs="Times New Roman"/>
          <w:b/>
        </w:rPr>
        <w:t xml:space="preserve">Publication </w:t>
      </w:r>
      <w:proofErr w:type="gramStart"/>
      <w:r w:rsidRPr="00181EBF">
        <w:rPr>
          <w:rFonts w:ascii="Times New Roman" w:eastAsia="Calibri" w:hAnsi="Times New Roman" w:cs="Times New Roman"/>
          <w:b/>
        </w:rPr>
        <w:t>note</w:t>
      </w:r>
      <w:proofErr w:type="gramEnd"/>
      <w:r w:rsidRPr="00181EBF">
        <w:rPr>
          <w:rFonts w:ascii="Times New Roman" w:eastAsia="Calibri" w:hAnsi="Times New Roman" w:cs="Times New Roman"/>
          <w:b/>
        </w:rPr>
        <w:t xml:space="preserve">. </w:t>
      </w:r>
      <w:r w:rsidRPr="00181EBF">
        <w:rPr>
          <w:rFonts w:ascii="Times New Roman" w:eastAsia="Calibri" w:hAnsi="Times New Roman" w:cs="Times New Roman"/>
        </w:rPr>
        <w:t>A related preprint previously discussed liminality, embodied memory, and social cohesion (Ercan, 2026). The present research report develops the distinct structure and argument of the paper delivered at the Athens Congress, with added emphasis on performance, cultural continuity, field documentation, and the limits of ethnoarchaeological interpretation.</w:t>
      </w:r>
    </w:p>
    <w:p w14:paraId="0F53649A" w14:textId="77777777" w:rsidR="00327903" w:rsidRPr="00181EBF" w:rsidRDefault="00E7769D">
      <w:pPr>
        <w:pStyle w:val="Heading1"/>
        <w:rPr>
          <w:rFonts w:ascii="Times New Roman" w:hAnsi="Times New Roman" w:cs="Times New Roman"/>
          <w:color w:val="FF0000"/>
          <w:sz w:val="24"/>
          <w:szCs w:val="24"/>
        </w:rPr>
      </w:pPr>
      <w:r w:rsidRPr="00181EBF">
        <w:rPr>
          <w:rFonts w:ascii="Times New Roman" w:hAnsi="Times New Roman" w:cs="Times New Roman"/>
          <w:color w:val="FF0000"/>
          <w:sz w:val="24"/>
          <w:szCs w:val="24"/>
        </w:rPr>
        <w:t>1. Introduction</w:t>
      </w:r>
    </w:p>
    <w:p w14:paraId="0D47132F" w14:textId="77777777" w:rsidR="00327903" w:rsidRPr="00181EBF" w:rsidRDefault="00E7769D">
      <w:pPr>
        <w:rPr>
          <w:rFonts w:ascii="Times New Roman" w:hAnsi="Times New Roman" w:cs="Times New Roman"/>
        </w:rPr>
      </w:pPr>
      <w:r w:rsidRPr="00181EBF">
        <w:rPr>
          <w:rFonts w:ascii="Times New Roman" w:hAnsi="Times New Roman" w:cs="Times New Roman"/>
        </w:rPr>
        <w:t xml:space="preserve">Cemal Oyunu is a traditional village performance documented in Thrace, especially in the </w:t>
      </w:r>
      <w:r w:rsidR="00181EBF">
        <w:rPr>
          <w:rFonts w:ascii="Times New Roman" w:hAnsi="Times New Roman" w:cs="Times New Roman"/>
        </w:rPr>
        <w:t>Marmara</w:t>
      </w:r>
      <w:r w:rsidRPr="00181EBF">
        <w:rPr>
          <w:rFonts w:ascii="Times New Roman" w:hAnsi="Times New Roman" w:cs="Times New Roman"/>
        </w:rPr>
        <w:t xml:space="preserve"> region of </w:t>
      </w:r>
      <w:proofErr w:type="spellStart"/>
      <w:r w:rsidRPr="00181EBF">
        <w:rPr>
          <w:rFonts w:ascii="Times New Roman" w:hAnsi="Times New Roman" w:cs="Times New Roman"/>
        </w:rPr>
        <w:t>Türkiye</w:t>
      </w:r>
      <w:proofErr w:type="spellEnd"/>
      <w:r w:rsidRPr="00181EBF">
        <w:rPr>
          <w:rFonts w:ascii="Times New Roman" w:hAnsi="Times New Roman" w:cs="Times New Roman"/>
        </w:rPr>
        <w:t xml:space="preserve">. Its local forms vary, but accounts commonly refer to masked or animal-like figures, bells and other sound-producing objects, music, rhythmic movement, improvised speech, house-to-house circulation, comic or violent encounters, and scenes involving death, return, fertility, or communal renewal. These elements place the practice within the broader field of village spectacle and ritual performance discussed in Turkish folklore and theatre research (And, 1974; </w:t>
      </w:r>
      <w:proofErr w:type="spellStart"/>
      <w:r w:rsidRPr="00181EBF">
        <w:rPr>
          <w:rFonts w:ascii="Times New Roman" w:hAnsi="Times New Roman" w:cs="Times New Roman"/>
        </w:rPr>
        <w:t>İçyar</w:t>
      </w:r>
      <w:proofErr w:type="spellEnd"/>
      <w:r w:rsidRPr="00181EBF">
        <w:rPr>
          <w:rFonts w:ascii="Times New Roman" w:hAnsi="Times New Roman" w:cs="Times New Roman"/>
        </w:rPr>
        <w:t xml:space="preserve">, 2016; </w:t>
      </w:r>
      <w:proofErr w:type="spellStart"/>
      <w:r w:rsidRPr="00181EBF">
        <w:rPr>
          <w:rFonts w:ascii="Times New Roman" w:hAnsi="Times New Roman" w:cs="Times New Roman"/>
        </w:rPr>
        <w:t>Tekerek</w:t>
      </w:r>
      <w:proofErr w:type="spellEnd"/>
      <w:r w:rsidRPr="00181EBF">
        <w:rPr>
          <w:rFonts w:ascii="Times New Roman" w:hAnsi="Times New Roman" w:cs="Times New Roman"/>
        </w:rPr>
        <w:t xml:space="preserve">, 2007). A related camel-performance tradition among </w:t>
      </w:r>
      <w:proofErr w:type="spellStart"/>
      <w:r w:rsidRPr="00181EBF">
        <w:rPr>
          <w:rFonts w:ascii="Times New Roman" w:hAnsi="Times New Roman" w:cs="Times New Roman"/>
        </w:rPr>
        <w:t>Amuca</w:t>
      </w:r>
      <w:proofErr w:type="spellEnd"/>
      <w:r w:rsidRPr="00181EBF">
        <w:rPr>
          <w:rFonts w:ascii="Times New Roman" w:hAnsi="Times New Roman" w:cs="Times New Roman"/>
        </w:rPr>
        <w:t xml:space="preserve"> communities in Thrace further demonstrates the regional importance of animal embodiment and processional enactment (Engin, 1997).</w:t>
      </w:r>
    </w:p>
    <w:p w14:paraId="7AB79E21" w14:textId="77777777" w:rsidR="00327903" w:rsidRPr="00181EBF" w:rsidRDefault="00E7769D">
      <w:pPr>
        <w:rPr>
          <w:rFonts w:ascii="Times New Roman" w:hAnsi="Times New Roman" w:cs="Times New Roman"/>
        </w:rPr>
      </w:pPr>
      <w:r w:rsidRPr="00181EBF">
        <w:rPr>
          <w:rFonts w:ascii="Times New Roman" w:hAnsi="Times New Roman" w:cs="Times New Roman"/>
        </w:rPr>
        <w:lastRenderedPageBreak/>
        <w:t>The central question of this study is how Cemal Oyunu can be interpreted as a ritual dance practice. Here, dance is not limited to codified steps or stage aesthetics. It refers more broadly to patterned bodily action organized through rhythm, repetition, sound, space, and collective timing. This definition allows the ritual to be examined as choreography even when it does not use a fixed sequence or written script.</w:t>
      </w:r>
    </w:p>
    <w:p w14:paraId="713A50B2" w14:textId="77777777" w:rsidR="00327903" w:rsidRPr="00181EBF" w:rsidRDefault="00E7769D">
      <w:pPr>
        <w:rPr>
          <w:rFonts w:ascii="Times New Roman" w:hAnsi="Times New Roman" w:cs="Times New Roman"/>
        </w:rPr>
      </w:pPr>
      <w:r w:rsidRPr="00181EBF">
        <w:rPr>
          <w:rFonts w:ascii="Times New Roman" w:hAnsi="Times New Roman" w:cs="Times New Roman"/>
        </w:rPr>
        <w:t>The paper also asks whether a contemporary performance can contribute to archaeological thinking. The answer proposed here is deliberately cautious. Cemal Oyunu cannot prove the meaning of a prehistoric object or establish an unbroken line of continuity from the ancient past. It can, however, demonstrate how objects, bodies, sound, spatial circulation, and social participation become integrated in ritual action. In this sense, it offers an ethnographic framework for asking more precise questions about material traces of performance.</w:t>
      </w:r>
    </w:p>
    <w:p w14:paraId="6536AE7A" w14:textId="77777777" w:rsidR="00327903" w:rsidRPr="00181EBF" w:rsidRDefault="00E7769D">
      <w:pPr>
        <w:pStyle w:val="Heading1"/>
        <w:rPr>
          <w:rFonts w:ascii="Times New Roman" w:hAnsi="Times New Roman" w:cs="Times New Roman"/>
          <w:color w:val="FF0000"/>
          <w:sz w:val="24"/>
          <w:szCs w:val="24"/>
        </w:rPr>
      </w:pPr>
      <w:r w:rsidRPr="00181EBF">
        <w:rPr>
          <w:rFonts w:ascii="Times New Roman" w:hAnsi="Times New Roman" w:cs="Times New Roman"/>
          <w:color w:val="FF0000"/>
          <w:sz w:val="24"/>
          <w:szCs w:val="24"/>
        </w:rPr>
        <w:t>2. Scope and Method</w:t>
      </w:r>
    </w:p>
    <w:p w14:paraId="7DD07B39" w14:textId="77777777" w:rsidR="00327903" w:rsidRPr="00181EBF" w:rsidRDefault="00E7769D">
      <w:pPr>
        <w:rPr>
          <w:rFonts w:ascii="Times New Roman" w:hAnsi="Times New Roman" w:cs="Times New Roman"/>
        </w:rPr>
      </w:pPr>
      <w:r w:rsidRPr="00181EBF">
        <w:rPr>
          <w:rFonts w:ascii="Times New Roman" w:hAnsi="Times New Roman" w:cs="Times New Roman"/>
        </w:rPr>
        <w:t xml:space="preserve">This research report is based on an ongoing study combining literature review with field documentation in </w:t>
      </w:r>
      <w:proofErr w:type="spellStart"/>
      <w:r w:rsidRPr="00181EBF">
        <w:rPr>
          <w:rFonts w:ascii="Times New Roman" w:hAnsi="Times New Roman" w:cs="Times New Roman"/>
        </w:rPr>
        <w:t>Tekirdağ</w:t>
      </w:r>
      <w:proofErr w:type="spellEnd"/>
      <w:r w:rsidR="00181EBF">
        <w:rPr>
          <w:rFonts w:ascii="Times New Roman" w:hAnsi="Times New Roman" w:cs="Times New Roman"/>
        </w:rPr>
        <w:t xml:space="preserve">, </w:t>
      </w:r>
      <w:proofErr w:type="spellStart"/>
      <w:r w:rsidR="00181EBF">
        <w:rPr>
          <w:rFonts w:ascii="Times New Roman" w:hAnsi="Times New Roman" w:cs="Times New Roman"/>
        </w:rPr>
        <w:t>Çanakkale</w:t>
      </w:r>
      <w:proofErr w:type="spellEnd"/>
      <w:r w:rsidRPr="00181EBF">
        <w:rPr>
          <w:rFonts w:ascii="Times New Roman" w:hAnsi="Times New Roman" w:cs="Times New Roman"/>
        </w:rPr>
        <w:t xml:space="preserve"> and surrounding villages. The field material includes conversational oral-history interviews with local participants and witnesses, local narratives about past performances, and documentation of objects associated with the ritual, including bells, masks, headpieces, costumes, sticks, and animal-like disguises. The interview format allowed narrators to describe the sequence, meanings, and emotional atmosphere of the event in their own terms.</w:t>
      </w:r>
    </w:p>
    <w:p w14:paraId="4214320B" w14:textId="77777777" w:rsidR="00327903" w:rsidRPr="00181EBF" w:rsidRDefault="00E7769D">
      <w:pPr>
        <w:rPr>
          <w:rFonts w:ascii="Times New Roman" w:hAnsi="Times New Roman" w:cs="Times New Roman"/>
        </w:rPr>
      </w:pPr>
      <w:r w:rsidRPr="00181EBF">
        <w:rPr>
          <w:rFonts w:ascii="Times New Roman" w:hAnsi="Times New Roman" w:cs="Times New Roman"/>
        </w:rPr>
        <w:t>The study uses three connected concepts. Performance refers to an action organized before and with others through body, time, space, and attention. Liminality describes the temporary in-between condition in which ordinary identities and rules are suspended or transformed (Turner, 1969). Embodied memory refers to knowledge carried through repetition, imitation, gesture, rhythm, and bodily participation rather than through writing alone. These concepts are interpretive tools, not claims that every village version has the same form or meaning.</w:t>
      </w:r>
    </w:p>
    <w:p w14:paraId="1BD09F0C" w14:textId="77777777" w:rsidR="00327903" w:rsidRPr="00181EBF" w:rsidRDefault="00E7769D">
      <w:pPr>
        <w:rPr>
          <w:rFonts w:ascii="Times New Roman" w:hAnsi="Times New Roman" w:cs="Times New Roman"/>
        </w:rPr>
      </w:pPr>
      <w:r w:rsidRPr="00181EBF">
        <w:rPr>
          <w:rFonts w:ascii="Times New Roman" w:hAnsi="Times New Roman" w:cs="Times New Roman"/>
        </w:rPr>
        <w:t>Variation is therefore central to the method. Cemal Oyunu is treated neither as a single fixed choreography nor as a fossilized survival. Each remembered or continuing version belongs to a particular village, group, and historical setting. Comparison is used to identify recurring performative features while preserving local differences.</w:t>
      </w:r>
    </w:p>
    <w:p w14:paraId="2D725B0A" w14:textId="77777777" w:rsidR="00327903" w:rsidRPr="00181EBF" w:rsidRDefault="00E7769D">
      <w:pPr>
        <w:pStyle w:val="Heading1"/>
        <w:rPr>
          <w:rFonts w:ascii="Times New Roman" w:hAnsi="Times New Roman" w:cs="Times New Roman"/>
          <w:color w:val="FF0000"/>
          <w:sz w:val="24"/>
          <w:szCs w:val="24"/>
        </w:rPr>
      </w:pPr>
      <w:r w:rsidRPr="00181EBF">
        <w:rPr>
          <w:rFonts w:ascii="Times New Roman" w:hAnsi="Times New Roman" w:cs="Times New Roman"/>
          <w:color w:val="FF0000"/>
          <w:sz w:val="24"/>
          <w:szCs w:val="24"/>
        </w:rPr>
        <w:t>3. Cemal Oyunu as Ritual Performance</w:t>
      </w:r>
    </w:p>
    <w:p w14:paraId="171B53A5" w14:textId="77777777" w:rsidR="00327903" w:rsidRPr="00181EBF" w:rsidRDefault="00E7769D">
      <w:pPr>
        <w:rPr>
          <w:rFonts w:ascii="Times New Roman" w:hAnsi="Times New Roman" w:cs="Times New Roman"/>
        </w:rPr>
      </w:pPr>
      <w:r w:rsidRPr="00181EBF">
        <w:rPr>
          <w:rFonts w:ascii="Times New Roman" w:hAnsi="Times New Roman" w:cs="Times New Roman"/>
        </w:rPr>
        <w:t>Cemal Oyunu transforms the village through the coordinated presence of performers, objects, spectators, and sound. The performers enter public space with altered bodies. Costumes, bells, masks, sticks, and animal-like forms separate them from ordinary identity. Their actions may include walking, shaking, jumping, turning, gesturing, approaching and withdrawing, threatening, joking, imitating animals, and enacting dramatic characters. Meaning is produced through the sequence and intensity of these actions rather than through movement alone.</w:t>
      </w:r>
    </w:p>
    <w:p w14:paraId="0E649F96" w14:textId="77777777" w:rsidR="00327903" w:rsidRPr="00181EBF" w:rsidRDefault="00E7769D">
      <w:pPr>
        <w:rPr>
          <w:rFonts w:ascii="Times New Roman" w:hAnsi="Times New Roman" w:cs="Times New Roman"/>
        </w:rPr>
      </w:pPr>
      <w:r w:rsidRPr="00181EBF">
        <w:rPr>
          <w:rFonts w:ascii="Times New Roman" w:hAnsi="Times New Roman" w:cs="Times New Roman"/>
        </w:rPr>
        <w:lastRenderedPageBreak/>
        <w:t>The village is not a passive background. Streets, houses, gathering places, and thresholds become components of the performance. Repeated entry into a location, interaction with residents, receipt or negotiation of offerings, and departure create a processional structure. Each stop functions like a recurring choreographic phrase. As the group circulates, performance space expands from the individual body to the whole settlement.</w:t>
      </w:r>
    </w:p>
    <w:p w14:paraId="454AEB46" w14:textId="77777777" w:rsidR="00327903" w:rsidRPr="00181EBF" w:rsidRDefault="00E7769D">
      <w:pPr>
        <w:rPr>
          <w:rFonts w:ascii="Times New Roman" w:hAnsi="Times New Roman" w:cs="Times New Roman"/>
        </w:rPr>
      </w:pPr>
      <w:r w:rsidRPr="00181EBF">
        <w:rPr>
          <w:rFonts w:ascii="Times New Roman" w:hAnsi="Times New Roman" w:cs="Times New Roman"/>
        </w:rPr>
        <w:t>Community members are likewise not merely spectators. They welcome, watch, follow, answer, laugh, fear, give, and remember. The ritual therefore depends on a relationship between those designated as performers and those who respond to them. Collective attention gives the transformed body its social force.</w:t>
      </w:r>
    </w:p>
    <w:p w14:paraId="6630B598" w14:textId="77777777" w:rsidR="00327903" w:rsidRPr="00181EBF" w:rsidRDefault="00E7769D">
      <w:pPr>
        <w:pStyle w:val="Heading1"/>
        <w:rPr>
          <w:rFonts w:ascii="Times New Roman" w:hAnsi="Times New Roman" w:cs="Times New Roman"/>
          <w:color w:val="FF0000"/>
          <w:sz w:val="24"/>
          <w:szCs w:val="24"/>
        </w:rPr>
      </w:pPr>
      <w:r w:rsidRPr="00181EBF">
        <w:rPr>
          <w:rFonts w:ascii="Times New Roman" w:hAnsi="Times New Roman" w:cs="Times New Roman"/>
          <w:color w:val="FF0000"/>
          <w:sz w:val="24"/>
          <w:szCs w:val="24"/>
        </w:rPr>
        <w:t>4. Movement, Sound, and Transformation</w:t>
      </w:r>
    </w:p>
    <w:p w14:paraId="75B367E6" w14:textId="77777777" w:rsidR="00327903" w:rsidRPr="00181EBF" w:rsidRDefault="00E7769D">
      <w:pPr>
        <w:rPr>
          <w:rFonts w:ascii="Times New Roman" w:hAnsi="Times New Roman" w:cs="Times New Roman"/>
        </w:rPr>
      </w:pPr>
      <w:r w:rsidRPr="00181EBF">
        <w:rPr>
          <w:rFonts w:ascii="Times New Roman" w:hAnsi="Times New Roman" w:cs="Times New Roman"/>
        </w:rPr>
        <w:t>The dance dimension of Cemal Oyunu can be understood through four recurring relationships: body and disguise, body and sound, body and space, and body and collective memory. Disguise changes the visible form of the performer. Bells and other objects make the moving body audible. Processional circulation maps the ritual onto village space. Repetition transmits practical knowledge across generations.</w:t>
      </w:r>
    </w:p>
    <w:p w14:paraId="7EA5E108" w14:textId="77777777" w:rsidR="00327903" w:rsidRPr="00181EBF" w:rsidRDefault="00E7769D">
      <w:pPr>
        <w:rPr>
          <w:rFonts w:ascii="Times New Roman" w:hAnsi="Times New Roman" w:cs="Times New Roman"/>
        </w:rPr>
      </w:pPr>
      <w:r w:rsidRPr="00181EBF">
        <w:rPr>
          <w:rFonts w:ascii="Times New Roman" w:hAnsi="Times New Roman" w:cs="Times New Roman"/>
        </w:rPr>
        <w:t>Bells are particularly important because they are activated by movement. Without the body, the bell remains a material object; when worn, shaken, or carried, it becomes part of a sound-producing body. Rhythm is thus distributed across gesture, voice, percussion, footsteps, and costume. Improvised verses, blessings, comic insults, and pseudo-prayers can regulate attention and tempo, intensifying anticipation before a chase, confrontation, or revival scene.</w:t>
      </w:r>
    </w:p>
    <w:p w14:paraId="3CB6E120" w14:textId="77777777" w:rsidR="00327903" w:rsidRPr="00181EBF" w:rsidRDefault="00E7769D">
      <w:pPr>
        <w:rPr>
          <w:rFonts w:ascii="Times New Roman" w:hAnsi="Times New Roman" w:cs="Times New Roman"/>
        </w:rPr>
      </w:pPr>
      <w:r w:rsidRPr="00181EBF">
        <w:rPr>
          <w:rFonts w:ascii="Times New Roman" w:hAnsi="Times New Roman" w:cs="Times New Roman"/>
        </w:rPr>
        <w:t>Some local narratives remember meetings between Cemal groups as dangerous encounters that could exceed playful mock conflict. Such accounts connect bodily confrontation with fertility, strength, loss, or prestige. They should be read as situated oral histories rather than generalized as a rule for every performance. Even so, they show that movement can carry social risk and symbolic power: approaching, circling, threatening, resisting, falling, and returning become a vocabulary through which community memory is narrated.</w:t>
      </w:r>
    </w:p>
    <w:p w14:paraId="4EE74DC9" w14:textId="77777777" w:rsidR="00327903" w:rsidRPr="00181EBF" w:rsidRDefault="00E7769D">
      <w:pPr>
        <w:pStyle w:val="Heading1"/>
        <w:rPr>
          <w:rFonts w:ascii="Times New Roman" w:hAnsi="Times New Roman" w:cs="Times New Roman"/>
          <w:color w:val="FF0000"/>
          <w:sz w:val="24"/>
          <w:szCs w:val="24"/>
        </w:rPr>
      </w:pPr>
      <w:r w:rsidRPr="00181EBF">
        <w:rPr>
          <w:rFonts w:ascii="Times New Roman" w:hAnsi="Times New Roman" w:cs="Times New Roman"/>
          <w:color w:val="FF0000"/>
          <w:sz w:val="24"/>
          <w:szCs w:val="24"/>
        </w:rPr>
        <w:t>5. Liminality, Embodied Memory, and Social Cohesion</w:t>
      </w:r>
    </w:p>
    <w:p w14:paraId="1A9FE499" w14:textId="77777777" w:rsidR="00327903" w:rsidRPr="00181EBF" w:rsidRDefault="00E7769D">
      <w:pPr>
        <w:rPr>
          <w:rFonts w:ascii="Times New Roman" w:hAnsi="Times New Roman" w:cs="Times New Roman"/>
        </w:rPr>
      </w:pPr>
      <w:r w:rsidRPr="00181EBF">
        <w:rPr>
          <w:rFonts w:ascii="Times New Roman" w:hAnsi="Times New Roman" w:cs="Times New Roman"/>
        </w:rPr>
        <w:t>During the ritual, performers are neither entirely ordinary villagers nor fully fictional beings. Disguise, darkness, noise, role reversal, and collective movement produce an in-between condition. Turner (1969) describes this temporary suspension or reorganization of ordinary structure as liminality. In Cemal Oyunu, liminality is not an abstract idea; it is produced through bodily and sensory means.</w:t>
      </w:r>
    </w:p>
    <w:p w14:paraId="03118D7D" w14:textId="77777777" w:rsidR="00327903" w:rsidRPr="00181EBF" w:rsidRDefault="00E7769D">
      <w:pPr>
        <w:rPr>
          <w:rFonts w:ascii="Times New Roman" w:hAnsi="Times New Roman" w:cs="Times New Roman"/>
        </w:rPr>
      </w:pPr>
      <w:r w:rsidRPr="00181EBF">
        <w:rPr>
          <w:rFonts w:ascii="Times New Roman" w:hAnsi="Times New Roman" w:cs="Times New Roman"/>
        </w:rPr>
        <w:t xml:space="preserve">This temporary alteration can create </w:t>
      </w:r>
      <w:proofErr w:type="spellStart"/>
      <w:r w:rsidRPr="00181EBF">
        <w:rPr>
          <w:rFonts w:ascii="Times New Roman" w:hAnsi="Times New Roman" w:cs="Times New Roman"/>
        </w:rPr>
        <w:t>communitas</w:t>
      </w:r>
      <w:proofErr w:type="spellEnd"/>
      <w:r w:rsidRPr="00181EBF">
        <w:rPr>
          <w:rFonts w:ascii="Times New Roman" w:hAnsi="Times New Roman" w:cs="Times New Roman"/>
        </w:rPr>
        <w:t>, a heightened experience of togetherness that emerges outside everyday hierarchy (Turner, 1969). Comic inversion, fear, laughter, staged death, and return allow tension to be enacted collectively. The ritual can therefore be understood as a social practice that renews belonging while negotiating uncertainty and seasonal or communal transition.</w:t>
      </w:r>
    </w:p>
    <w:p w14:paraId="536DA7F6" w14:textId="77777777" w:rsidR="00327903" w:rsidRPr="00181EBF" w:rsidRDefault="00E7769D">
      <w:pPr>
        <w:rPr>
          <w:rFonts w:ascii="Times New Roman" w:hAnsi="Times New Roman" w:cs="Times New Roman"/>
        </w:rPr>
      </w:pPr>
      <w:r w:rsidRPr="00181EBF">
        <w:rPr>
          <w:rFonts w:ascii="Times New Roman" w:hAnsi="Times New Roman" w:cs="Times New Roman"/>
        </w:rPr>
        <w:lastRenderedPageBreak/>
        <w:t>The continuity involved here is cultural and performative, not necessarily an unbroken historical survival. Knowledge persists because people remember how to assemble a disguise, attach bells, move as a group, follow a route, respond to an audience, and recognize the sequence of events. Such knowledge is embodied. It is learned by watching, doing, repeating, and narrating. This approach also supports the understanding of living ritual as intangible cultural heritage sustained through community practice (Oğuz, 2008; Örnek, 1977).</w:t>
      </w:r>
    </w:p>
    <w:p w14:paraId="30D16103" w14:textId="77777777" w:rsidR="00327903" w:rsidRPr="00181EBF" w:rsidRDefault="00E7769D">
      <w:pPr>
        <w:pStyle w:val="Heading1"/>
        <w:rPr>
          <w:rFonts w:ascii="Times New Roman" w:hAnsi="Times New Roman" w:cs="Times New Roman"/>
          <w:color w:val="FF0000"/>
          <w:sz w:val="24"/>
          <w:szCs w:val="24"/>
        </w:rPr>
      </w:pPr>
      <w:r w:rsidRPr="00181EBF">
        <w:rPr>
          <w:rFonts w:ascii="Times New Roman" w:hAnsi="Times New Roman" w:cs="Times New Roman"/>
          <w:color w:val="FF0000"/>
          <w:sz w:val="24"/>
          <w:szCs w:val="24"/>
        </w:rPr>
        <w:t>6. Ethnoarchaeological Relevance and Its Limits</w:t>
      </w:r>
    </w:p>
    <w:p w14:paraId="6B8375FF" w14:textId="77777777" w:rsidR="00327903" w:rsidRPr="00181EBF" w:rsidRDefault="00E7769D">
      <w:pPr>
        <w:rPr>
          <w:rFonts w:ascii="Times New Roman" w:hAnsi="Times New Roman" w:cs="Times New Roman"/>
        </w:rPr>
      </w:pPr>
      <w:r w:rsidRPr="00181EBF">
        <w:rPr>
          <w:rFonts w:ascii="Times New Roman" w:hAnsi="Times New Roman" w:cs="Times New Roman"/>
        </w:rPr>
        <w:t>Performance rarely survives archaeologically as a complete event. Bodies, movement, sound, and audience response disappear, leaving partial traces such as objects, images, wear patterns, spatial arrangements, and deposits. Ethnographic observation can help archaeologists imagine the relationships that once connected these traces, but it cannot assign a single meaning to them.</w:t>
      </w:r>
    </w:p>
    <w:p w14:paraId="2D52A389" w14:textId="77777777" w:rsidR="00327903" w:rsidRPr="00181EBF" w:rsidRDefault="00E7769D">
      <w:pPr>
        <w:rPr>
          <w:rFonts w:ascii="Times New Roman" w:hAnsi="Times New Roman" w:cs="Times New Roman"/>
        </w:rPr>
      </w:pPr>
      <w:r w:rsidRPr="00181EBF">
        <w:rPr>
          <w:rFonts w:ascii="Times New Roman" w:hAnsi="Times New Roman" w:cs="Times New Roman"/>
        </w:rPr>
        <w:t>Cemal Oyunu is valuable because it demonstrates that an object may have several simultaneous roles. A bell may be costume, sound technology, identity marker, rhythmic device, and ritual instrument. A textile may conceal a human body while creating an animal-like figure. A street or house threshold may become a performative boundary. These examples encourage archaeology to ask not only what an object is, but how it might have moved, sounded, transformed a body, organized attention, or participated in a collective event.</w:t>
      </w:r>
    </w:p>
    <w:p w14:paraId="565887D3" w14:textId="77777777" w:rsidR="00327903" w:rsidRPr="00181EBF" w:rsidRDefault="00E7769D">
      <w:pPr>
        <w:rPr>
          <w:rFonts w:ascii="Times New Roman" w:hAnsi="Times New Roman" w:cs="Times New Roman"/>
        </w:rPr>
      </w:pPr>
      <w:r w:rsidRPr="00181EBF">
        <w:rPr>
          <w:rFonts w:ascii="Times New Roman" w:hAnsi="Times New Roman" w:cs="Times New Roman"/>
        </w:rPr>
        <w:t>The methodological boundary remains essential: formal similarity does not establish common origin, continuity, or identical meaning. The contribution of ethnoarchaeology is analogical and question-generating. Living practice helps reveal possible relationships among materiality, embodiment, and ritual action, while archaeological interpretation must remain grounded in the specific context of the evidence.</w:t>
      </w:r>
    </w:p>
    <w:p w14:paraId="1D5F8751" w14:textId="77777777" w:rsidR="00327903" w:rsidRPr="00181EBF" w:rsidRDefault="00E7769D">
      <w:pPr>
        <w:pStyle w:val="Heading1"/>
        <w:rPr>
          <w:rFonts w:ascii="Times New Roman" w:hAnsi="Times New Roman" w:cs="Times New Roman"/>
          <w:color w:val="FF0000"/>
          <w:sz w:val="24"/>
          <w:szCs w:val="24"/>
        </w:rPr>
      </w:pPr>
      <w:r w:rsidRPr="00181EBF">
        <w:rPr>
          <w:rFonts w:ascii="Times New Roman" w:hAnsi="Times New Roman" w:cs="Times New Roman"/>
          <w:color w:val="FF0000"/>
          <w:sz w:val="24"/>
          <w:szCs w:val="24"/>
        </w:rPr>
        <w:t>7. Conclusion</w:t>
      </w:r>
    </w:p>
    <w:p w14:paraId="74D6E3D9" w14:textId="77777777" w:rsidR="00327903" w:rsidRPr="00181EBF" w:rsidRDefault="00E7769D">
      <w:pPr>
        <w:rPr>
          <w:rFonts w:ascii="Times New Roman" w:hAnsi="Times New Roman" w:cs="Times New Roman"/>
        </w:rPr>
      </w:pPr>
      <w:r w:rsidRPr="00181EBF">
        <w:rPr>
          <w:rFonts w:ascii="Times New Roman" w:hAnsi="Times New Roman" w:cs="Times New Roman"/>
        </w:rPr>
        <w:t>Cemal Oyunu should not be reduced either to local entertainment or to an unchanged survival from the distant past. It is a flexible ritual performance in which disguise, movement, sound, public circulation, dramatic action, and communal participation work together. Its choreographic logic lies in patterned relationships among bodies, objects, space, rhythm, and audience response.</w:t>
      </w:r>
    </w:p>
    <w:p w14:paraId="72EFE939" w14:textId="77777777" w:rsidR="00327903" w:rsidRPr="00181EBF" w:rsidRDefault="00E7769D">
      <w:pPr>
        <w:rPr>
          <w:rFonts w:ascii="Times New Roman" w:hAnsi="Times New Roman" w:cs="Times New Roman"/>
        </w:rPr>
      </w:pPr>
      <w:r w:rsidRPr="00181EBF">
        <w:rPr>
          <w:rFonts w:ascii="Times New Roman" w:hAnsi="Times New Roman" w:cs="Times New Roman"/>
        </w:rPr>
        <w:t xml:space="preserve">Reading the practice as ritual dance makes visible the social work performed by the body. Movement activates costume and sound, produces temporary identities, organizes village space, and carries memory. Liminality and </w:t>
      </w:r>
      <w:proofErr w:type="spellStart"/>
      <w:r w:rsidRPr="00181EBF">
        <w:rPr>
          <w:rFonts w:ascii="Times New Roman" w:hAnsi="Times New Roman" w:cs="Times New Roman"/>
        </w:rPr>
        <w:t>communitas</w:t>
      </w:r>
      <w:proofErr w:type="spellEnd"/>
      <w:r w:rsidRPr="00181EBF">
        <w:rPr>
          <w:rFonts w:ascii="Times New Roman" w:hAnsi="Times New Roman" w:cs="Times New Roman"/>
        </w:rPr>
        <w:t xml:space="preserve"> help explain how the ritual creates a temporary world through which communities negotiate tension, belonging, uncertainty, and renewal.</w:t>
      </w:r>
    </w:p>
    <w:p w14:paraId="78D33766" w14:textId="77777777" w:rsidR="00327903" w:rsidRPr="00181EBF" w:rsidRDefault="00E7769D">
      <w:pPr>
        <w:rPr>
          <w:rFonts w:ascii="Times New Roman" w:hAnsi="Times New Roman" w:cs="Times New Roman"/>
        </w:rPr>
      </w:pPr>
      <w:r w:rsidRPr="00181EBF">
        <w:rPr>
          <w:rFonts w:ascii="Times New Roman" w:hAnsi="Times New Roman" w:cs="Times New Roman"/>
        </w:rPr>
        <w:t xml:space="preserve">For archaeology, the importance of Cemal Oyunu lies not in proving the past but in refining the questions asked of material evidence. The ritual demonstrates how performance may be distributed across bodies and objects, and how traces that appear separate in the archaeological record may once have belonged to a single sensory and collective event. The study therefore contributes to both dance research and </w:t>
      </w:r>
      <w:r w:rsidRPr="00181EBF">
        <w:rPr>
          <w:rFonts w:ascii="Times New Roman" w:hAnsi="Times New Roman" w:cs="Times New Roman"/>
        </w:rPr>
        <w:lastRenderedPageBreak/>
        <w:t>ethnoarchaeological interpretation by treating movement as a primary form of social and cultural knowledge.</w:t>
      </w:r>
    </w:p>
    <w:p w14:paraId="5A014275" w14:textId="77777777" w:rsidR="00327903" w:rsidRPr="00181EBF" w:rsidRDefault="00E7769D" w:rsidP="00181EBF">
      <w:pPr>
        <w:pStyle w:val="Heading1"/>
        <w:jc w:val="both"/>
        <w:rPr>
          <w:rFonts w:ascii="Times New Roman" w:hAnsi="Times New Roman" w:cs="Times New Roman"/>
          <w:color w:val="FF0000"/>
          <w:sz w:val="24"/>
          <w:szCs w:val="24"/>
        </w:rPr>
      </w:pPr>
      <w:r w:rsidRPr="00181EBF">
        <w:rPr>
          <w:rFonts w:ascii="Times New Roman" w:hAnsi="Times New Roman" w:cs="Times New Roman"/>
          <w:color w:val="FF0000"/>
          <w:sz w:val="24"/>
          <w:szCs w:val="24"/>
        </w:rPr>
        <w:t>References</w:t>
      </w:r>
    </w:p>
    <w:p w14:paraId="7D5F6CD3" w14:textId="77777777" w:rsidR="00327903" w:rsidRPr="00181EBF" w:rsidRDefault="00E7769D" w:rsidP="00181EBF">
      <w:pPr>
        <w:pStyle w:val="Reference"/>
        <w:jc w:val="both"/>
        <w:rPr>
          <w:rFonts w:ascii="Times New Roman" w:hAnsi="Times New Roman" w:cs="Times New Roman"/>
        </w:rPr>
      </w:pPr>
      <w:r w:rsidRPr="00181EBF">
        <w:rPr>
          <w:rFonts w:ascii="Times New Roman" w:hAnsi="Times New Roman" w:cs="Times New Roman"/>
        </w:rPr>
        <w:t xml:space="preserve">And, M. (1974). Oyun </w:t>
      </w:r>
      <w:proofErr w:type="spellStart"/>
      <w:r w:rsidRPr="00181EBF">
        <w:rPr>
          <w:rFonts w:ascii="Times New Roman" w:hAnsi="Times New Roman" w:cs="Times New Roman"/>
        </w:rPr>
        <w:t>ve</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bügü</w:t>
      </w:r>
      <w:proofErr w:type="spellEnd"/>
      <w:r w:rsidRPr="00181EBF">
        <w:rPr>
          <w:rFonts w:ascii="Times New Roman" w:hAnsi="Times New Roman" w:cs="Times New Roman"/>
        </w:rPr>
        <w:t xml:space="preserve">: Türk </w:t>
      </w:r>
      <w:proofErr w:type="spellStart"/>
      <w:r w:rsidRPr="00181EBF">
        <w:rPr>
          <w:rFonts w:ascii="Times New Roman" w:hAnsi="Times New Roman" w:cs="Times New Roman"/>
        </w:rPr>
        <w:t>kültüründe</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oyun</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kavramı</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Türkiye</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İş</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Bankası</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Kültür</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Yayınları</w:t>
      </w:r>
      <w:proofErr w:type="spellEnd"/>
      <w:r w:rsidRPr="00181EBF">
        <w:rPr>
          <w:rFonts w:ascii="Times New Roman" w:hAnsi="Times New Roman" w:cs="Times New Roman"/>
        </w:rPr>
        <w:t>.</w:t>
      </w:r>
    </w:p>
    <w:p w14:paraId="50DED130" w14:textId="77777777" w:rsidR="00327903" w:rsidRPr="00181EBF" w:rsidRDefault="00E7769D" w:rsidP="00181EBF">
      <w:pPr>
        <w:pStyle w:val="Reference"/>
        <w:jc w:val="both"/>
        <w:rPr>
          <w:rFonts w:ascii="Times New Roman" w:hAnsi="Times New Roman" w:cs="Times New Roman"/>
        </w:rPr>
      </w:pPr>
      <w:r w:rsidRPr="00181EBF">
        <w:rPr>
          <w:rFonts w:ascii="Times New Roman" w:hAnsi="Times New Roman" w:cs="Times New Roman"/>
        </w:rPr>
        <w:t xml:space="preserve">Engin, R. (1997). </w:t>
      </w:r>
      <w:proofErr w:type="spellStart"/>
      <w:r w:rsidRPr="00181EBF">
        <w:rPr>
          <w:rFonts w:ascii="Times New Roman" w:hAnsi="Times New Roman" w:cs="Times New Roman"/>
        </w:rPr>
        <w:t>Amucalar'da</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deve</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oynatma</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geleneği</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Folklor</w:t>
      </w:r>
      <w:proofErr w:type="spellEnd"/>
      <w:r w:rsidRPr="00181EBF">
        <w:rPr>
          <w:rFonts w:ascii="Times New Roman" w:hAnsi="Times New Roman" w:cs="Times New Roman"/>
        </w:rPr>
        <w:t>/</w:t>
      </w:r>
      <w:proofErr w:type="spellStart"/>
      <w:r w:rsidRPr="00181EBF">
        <w:rPr>
          <w:rFonts w:ascii="Times New Roman" w:hAnsi="Times New Roman" w:cs="Times New Roman"/>
        </w:rPr>
        <w:t>Edebiyat</w:t>
      </w:r>
      <w:proofErr w:type="spellEnd"/>
      <w:r w:rsidRPr="00181EBF">
        <w:rPr>
          <w:rFonts w:ascii="Times New Roman" w:hAnsi="Times New Roman" w:cs="Times New Roman"/>
        </w:rPr>
        <w:t>, 11, 103-109.</w:t>
      </w:r>
    </w:p>
    <w:p w14:paraId="0F0C0611" w14:textId="77777777" w:rsidR="00327903" w:rsidRPr="00181EBF" w:rsidRDefault="00E7769D" w:rsidP="00181EBF">
      <w:pPr>
        <w:pStyle w:val="Reference"/>
        <w:jc w:val="both"/>
        <w:rPr>
          <w:rFonts w:ascii="Times New Roman" w:hAnsi="Times New Roman" w:cs="Times New Roman"/>
        </w:rPr>
      </w:pPr>
      <w:r w:rsidRPr="00181EBF">
        <w:rPr>
          <w:rFonts w:ascii="Times New Roman" w:hAnsi="Times New Roman" w:cs="Times New Roman"/>
        </w:rPr>
        <w:t xml:space="preserve">Ercan, G. N. (2026). Cemal Oyunu as ritual dance: Liminality, embodied memory, and social cohesion in rural Thrace [Preprint]. </w:t>
      </w:r>
      <w:proofErr w:type="spellStart"/>
      <w:r w:rsidRPr="00181EBF">
        <w:rPr>
          <w:rFonts w:ascii="Times New Roman" w:hAnsi="Times New Roman" w:cs="Times New Roman"/>
        </w:rPr>
        <w:t>Zenodo</w:t>
      </w:r>
      <w:proofErr w:type="spellEnd"/>
      <w:r w:rsidRPr="00181EBF">
        <w:rPr>
          <w:rFonts w:ascii="Times New Roman" w:hAnsi="Times New Roman" w:cs="Times New Roman"/>
        </w:rPr>
        <w:t>. https://zenodo.org/records/18682019</w:t>
      </w:r>
    </w:p>
    <w:p w14:paraId="5B5175AB" w14:textId="77777777" w:rsidR="00327903" w:rsidRPr="00181EBF" w:rsidRDefault="00E7769D" w:rsidP="00181EBF">
      <w:pPr>
        <w:pStyle w:val="Reference"/>
        <w:jc w:val="both"/>
        <w:rPr>
          <w:rFonts w:ascii="Times New Roman" w:hAnsi="Times New Roman" w:cs="Times New Roman"/>
        </w:rPr>
      </w:pPr>
      <w:proofErr w:type="spellStart"/>
      <w:r w:rsidRPr="00181EBF">
        <w:rPr>
          <w:rFonts w:ascii="Times New Roman" w:hAnsi="Times New Roman" w:cs="Times New Roman"/>
        </w:rPr>
        <w:t>İçyar</w:t>
      </w:r>
      <w:proofErr w:type="spellEnd"/>
      <w:r w:rsidRPr="00181EBF">
        <w:rPr>
          <w:rFonts w:ascii="Times New Roman" w:hAnsi="Times New Roman" w:cs="Times New Roman"/>
        </w:rPr>
        <w:t xml:space="preserve">, C. (2011). </w:t>
      </w:r>
      <w:proofErr w:type="spellStart"/>
      <w:r w:rsidRPr="00181EBF">
        <w:rPr>
          <w:rFonts w:ascii="Times New Roman" w:hAnsi="Times New Roman" w:cs="Times New Roman"/>
        </w:rPr>
        <w:t>Köy</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seyirlik</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oyunları</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ortaoyunu</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ve</w:t>
      </w:r>
      <w:proofErr w:type="spellEnd"/>
      <w:r w:rsidRPr="00181EBF">
        <w:rPr>
          <w:rFonts w:ascii="Times New Roman" w:hAnsi="Times New Roman" w:cs="Times New Roman"/>
        </w:rPr>
        <w:t xml:space="preserve"> commedia dell'arte </w:t>
      </w:r>
      <w:proofErr w:type="spellStart"/>
      <w:r w:rsidRPr="00181EBF">
        <w:rPr>
          <w:rFonts w:ascii="Times New Roman" w:hAnsi="Times New Roman" w:cs="Times New Roman"/>
        </w:rPr>
        <w:t>oyunlarının</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ilişkilerinin</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incelenmesi</w:t>
      </w:r>
      <w:proofErr w:type="spellEnd"/>
      <w:r w:rsidRPr="00181EBF">
        <w:rPr>
          <w:rFonts w:ascii="Times New Roman" w:hAnsi="Times New Roman" w:cs="Times New Roman"/>
        </w:rPr>
        <w:t xml:space="preserve"> [Master's thesis, Atatürk University].</w:t>
      </w:r>
    </w:p>
    <w:p w14:paraId="5F1C0380" w14:textId="77777777" w:rsidR="00327903" w:rsidRPr="00BB0029" w:rsidRDefault="00E7769D" w:rsidP="00181EBF">
      <w:pPr>
        <w:pStyle w:val="Reference"/>
        <w:jc w:val="both"/>
        <w:rPr>
          <w:rFonts w:ascii="Times New Roman" w:hAnsi="Times New Roman" w:cs="Times New Roman"/>
          <w:lang w:val="fr-FR"/>
        </w:rPr>
      </w:pPr>
      <w:proofErr w:type="spellStart"/>
      <w:r w:rsidRPr="00181EBF">
        <w:rPr>
          <w:rFonts w:ascii="Times New Roman" w:hAnsi="Times New Roman" w:cs="Times New Roman"/>
        </w:rPr>
        <w:t>İçyar</w:t>
      </w:r>
      <w:proofErr w:type="spellEnd"/>
      <w:r w:rsidRPr="00181EBF">
        <w:rPr>
          <w:rFonts w:ascii="Times New Roman" w:hAnsi="Times New Roman" w:cs="Times New Roman"/>
        </w:rPr>
        <w:t xml:space="preserve">, C. (2016). </w:t>
      </w:r>
      <w:proofErr w:type="spellStart"/>
      <w:r w:rsidRPr="00181EBF">
        <w:rPr>
          <w:rFonts w:ascii="Times New Roman" w:hAnsi="Times New Roman" w:cs="Times New Roman"/>
        </w:rPr>
        <w:t>Köy</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seyirlik</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oyunlarının</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teknik</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özellikleri</w:t>
      </w:r>
      <w:proofErr w:type="spellEnd"/>
      <w:r w:rsidRPr="00181EBF">
        <w:rPr>
          <w:rFonts w:ascii="Times New Roman" w:hAnsi="Times New Roman" w:cs="Times New Roman"/>
        </w:rPr>
        <w:t xml:space="preserve">. </w:t>
      </w:r>
      <w:r w:rsidRPr="00BB0029">
        <w:rPr>
          <w:rFonts w:ascii="Times New Roman" w:hAnsi="Times New Roman" w:cs="Times New Roman"/>
          <w:lang w:val="fr-FR"/>
        </w:rPr>
        <w:t>Sanat Dergisi, 30, 68-72. https://izlik.org/JA36PY66SW</w:t>
      </w:r>
    </w:p>
    <w:p w14:paraId="50BF324C" w14:textId="77777777" w:rsidR="00327903" w:rsidRPr="00BB0029" w:rsidRDefault="00E7769D" w:rsidP="00181EBF">
      <w:pPr>
        <w:pStyle w:val="Reference"/>
        <w:jc w:val="both"/>
        <w:rPr>
          <w:rFonts w:ascii="Times New Roman" w:hAnsi="Times New Roman" w:cs="Times New Roman"/>
          <w:lang w:val="fr-FR"/>
        </w:rPr>
      </w:pPr>
      <w:r w:rsidRPr="00BB0029">
        <w:rPr>
          <w:rFonts w:ascii="Times New Roman" w:hAnsi="Times New Roman" w:cs="Times New Roman"/>
          <w:lang w:val="fr-FR"/>
        </w:rPr>
        <w:t>Oğuz, M. Ö. (Ed.). (2008). Türkiye'nin somut olmayan kültürel mirası. T.C. Kültür ve Turizm Bakanlığı Yayınları.</w:t>
      </w:r>
    </w:p>
    <w:p w14:paraId="51F95D8F" w14:textId="77777777" w:rsidR="00327903" w:rsidRPr="00BB0029" w:rsidRDefault="00E7769D" w:rsidP="00181EBF">
      <w:pPr>
        <w:pStyle w:val="Reference"/>
        <w:jc w:val="both"/>
        <w:rPr>
          <w:rFonts w:ascii="Times New Roman" w:hAnsi="Times New Roman" w:cs="Times New Roman"/>
          <w:lang w:val="fr-FR"/>
        </w:rPr>
      </w:pPr>
      <w:r w:rsidRPr="00BB0029">
        <w:rPr>
          <w:rFonts w:ascii="Times New Roman" w:hAnsi="Times New Roman" w:cs="Times New Roman"/>
          <w:lang w:val="fr-FR"/>
        </w:rPr>
        <w:t>Örnek, S. V. (1977). Türk halkbilimi. Türkiye İş Bankası Kültür Yayınları.</w:t>
      </w:r>
    </w:p>
    <w:p w14:paraId="66870985" w14:textId="77777777" w:rsidR="00327903" w:rsidRPr="00181EBF" w:rsidRDefault="00E7769D" w:rsidP="00181EBF">
      <w:pPr>
        <w:pStyle w:val="Reference"/>
        <w:jc w:val="both"/>
        <w:rPr>
          <w:rFonts w:ascii="Times New Roman" w:hAnsi="Times New Roman" w:cs="Times New Roman"/>
        </w:rPr>
      </w:pPr>
      <w:r w:rsidRPr="00BB0029">
        <w:rPr>
          <w:rFonts w:ascii="Times New Roman" w:hAnsi="Times New Roman" w:cs="Times New Roman"/>
          <w:lang w:val="fr-FR"/>
        </w:rPr>
        <w:t xml:space="preserve">Tekerek, N. (2007). Köy seyirlik oyunları, seyirlik uygulamalarıyla 51 yıllık bir amatör topluluk: Ankara Deneme Sahnesi ve uygulamalarından iki örnek: Bozkır Dirliği ve Gerçek Kavga. </w:t>
      </w:r>
      <w:proofErr w:type="spellStart"/>
      <w:r w:rsidRPr="00181EBF">
        <w:rPr>
          <w:rFonts w:ascii="Times New Roman" w:hAnsi="Times New Roman" w:cs="Times New Roman"/>
        </w:rPr>
        <w:t>Tiyatro</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Araştırmaları</w:t>
      </w:r>
      <w:proofErr w:type="spellEnd"/>
      <w:r w:rsidRPr="00181EBF">
        <w:rPr>
          <w:rFonts w:ascii="Times New Roman" w:hAnsi="Times New Roman" w:cs="Times New Roman"/>
        </w:rPr>
        <w:t xml:space="preserve"> </w:t>
      </w:r>
      <w:proofErr w:type="spellStart"/>
      <w:r w:rsidRPr="00181EBF">
        <w:rPr>
          <w:rFonts w:ascii="Times New Roman" w:hAnsi="Times New Roman" w:cs="Times New Roman"/>
        </w:rPr>
        <w:t>Dergisi</w:t>
      </w:r>
      <w:proofErr w:type="spellEnd"/>
      <w:r w:rsidRPr="00181EBF">
        <w:rPr>
          <w:rFonts w:ascii="Times New Roman" w:hAnsi="Times New Roman" w:cs="Times New Roman"/>
        </w:rPr>
        <w:t>, 24(24), 67-124. https://doi.org/10.1501/TAD_0000000084</w:t>
      </w:r>
    </w:p>
    <w:p w14:paraId="65851399" w14:textId="77777777" w:rsidR="00327903" w:rsidRPr="00181EBF" w:rsidRDefault="00E7769D" w:rsidP="00181EBF">
      <w:pPr>
        <w:pStyle w:val="Reference"/>
        <w:jc w:val="both"/>
        <w:rPr>
          <w:rFonts w:ascii="Times New Roman" w:hAnsi="Times New Roman" w:cs="Times New Roman"/>
        </w:rPr>
      </w:pPr>
      <w:r w:rsidRPr="00181EBF">
        <w:rPr>
          <w:rFonts w:ascii="Times New Roman" w:hAnsi="Times New Roman" w:cs="Times New Roman"/>
        </w:rPr>
        <w:t>Turner, V. (1969). The ritual process: Structure and anti-structure. Aldine.</w:t>
      </w:r>
    </w:p>
    <w:p w14:paraId="3D4DBE15" w14:textId="77777777" w:rsidR="00327903" w:rsidRPr="00181EBF" w:rsidRDefault="00E7769D">
      <w:pPr>
        <w:pStyle w:val="Heading1"/>
        <w:pageBreakBefore/>
        <w:rPr>
          <w:rFonts w:ascii="Times New Roman" w:hAnsi="Times New Roman" w:cs="Times New Roman"/>
          <w:color w:val="FF0000"/>
          <w:sz w:val="24"/>
          <w:szCs w:val="24"/>
        </w:rPr>
      </w:pPr>
      <w:r w:rsidRPr="00181EBF">
        <w:rPr>
          <w:rFonts w:ascii="Times New Roman" w:hAnsi="Times New Roman" w:cs="Times New Roman"/>
          <w:color w:val="FF0000"/>
          <w:sz w:val="24"/>
          <w:szCs w:val="24"/>
        </w:rPr>
        <w:lastRenderedPageBreak/>
        <w:t>Author</w:t>
      </w:r>
    </w:p>
    <w:p w14:paraId="6A81FBE0" w14:textId="77777777" w:rsidR="00327903" w:rsidRPr="00181EBF" w:rsidRDefault="00181EBF" w:rsidP="00181EBF">
      <w:pPr>
        <w:pStyle w:val="NormalWeb"/>
      </w:pPr>
      <w:r>
        <w:t xml:space="preserve">Gözde Nur Ercan studies Archaeology at Tekirdağ Namık Kemal University and Cultural Heritage and Tourism at Anadolu University. She is a Vaganova-trained ballet educator and a folk dance coach certified by the Turkish Folk Dance Federation. Her research focuses on ritual performance, embodied memory, ethnoarchaeology, and the living traditions of Thrace. She is also a member of the International Dance Council </w:t>
      </w:r>
      <w:r w:rsidR="00E7769D" w:rsidRPr="00181EBF">
        <w:t>(CID No. 42912).</w:t>
      </w:r>
    </w:p>
    <w:p w14:paraId="17A8AED2" w14:textId="77777777" w:rsidR="00327903" w:rsidRPr="00BB0029" w:rsidRDefault="00E7769D">
      <w:pPr>
        <w:pStyle w:val="Abstract"/>
        <w:keepLines/>
        <w:spacing w:before="40" w:after="0"/>
        <w:jc w:val="left"/>
        <w:rPr>
          <w:rFonts w:ascii="Times New Roman" w:hAnsi="Times New Roman" w:cs="Times New Roman"/>
          <w:lang w:val="tr-TR"/>
        </w:rPr>
      </w:pPr>
      <w:r w:rsidRPr="00BB0029">
        <w:rPr>
          <w:rFonts w:ascii="Times New Roman" w:eastAsia="Calibri" w:hAnsi="Times New Roman" w:cs="Times New Roman"/>
          <w:b/>
          <w:lang w:val="tr-TR"/>
        </w:rPr>
        <w:t xml:space="preserve">Correspondence address: </w:t>
      </w:r>
      <w:r w:rsidRPr="00BB0029">
        <w:rPr>
          <w:rFonts w:ascii="Times New Roman" w:eastAsia="Calibri" w:hAnsi="Times New Roman" w:cs="Times New Roman"/>
          <w:lang w:val="tr-TR"/>
        </w:rPr>
        <w:t>100. Yıl Mahallesi, Sedef Sokak, Güneş Sitesi, 59100 Süleymanpaşa, Tekirdağ, Türkiye</w:t>
      </w:r>
      <w:r w:rsidRPr="00BB0029">
        <w:rPr>
          <w:rFonts w:ascii="Times New Roman" w:eastAsia="Calibri" w:hAnsi="Times New Roman" w:cs="Times New Roman"/>
          <w:b/>
          <w:lang w:val="tr-TR"/>
        </w:rPr>
        <w:br/>
        <w:t xml:space="preserve">Email: </w:t>
      </w:r>
      <w:r w:rsidRPr="00BB0029">
        <w:rPr>
          <w:rFonts w:ascii="Times New Roman" w:eastAsia="Calibri" w:hAnsi="Times New Roman" w:cs="Times New Roman"/>
          <w:lang w:val="tr-TR"/>
        </w:rPr>
        <w:t>gozdenurercan2010@gmail.com</w:t>
      </w:r>
      <w:r w:rsidRPr="00BB0029">
        <w:rPr>
          <w:rFonts w:ascii="Times New Roman" w:eastAsia="Calibri" w:hAnsi="Times New Roman" w:cs="Times New Roman"/>
          <w:b/>
          <w:lang w:val="tr-TR"/>
        </w:rPr>
        <w:br/>
        <w:t xml:space="preserve">ORCID: </w:t>
      </w:r>
      <w:r w:rsidRPr="00BB0029">
        <w:rPr>
          <w:rFonts w:ascii="Times New Roman" w:eastAsia="Calibri" w:hAnsi="Times New Roman" w:cs="Times New Roman"/>
          <w:lang w:val="tr-TR"/>
        </w:rPr>
        <w:t>https://orcid.org/0009-0008-6704-6982</w:t>
      </w:r>
    </w:p>
    <w:sectPr w:rsidR="00327903" w:rsidRPr="00BB0029"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1DD11" w14:textId="77777777" w:rsidR="00E7769D" w:rsidRDefault="00E7769D">
      <w:pPr>
        <w:spacing w:after="0" w:line="240" w:lineRule="auto"/>
      </w:pPr>
      <w:r>
        <w:separator/>
      </w:r>
    </w:p>
  </w:endnote>
  <w:endnote w:type="continuationSeparator" w:id="0">
    <w:p w14:paraId="62049EB7" w14:textId="77777777" w:rsidR="00E7769D" w:rsidRDefault="00E77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50F49" w14:textId="77777777" w:rsidR="00327903" w:rsidRDefault="00E7769D">
    <w:pPr>
      <w:pStyle w:val="Footer"/>
      <w:jc w:val="right"/>
    </w:pPr>
    <w:r>
      <w:rPr>
        <w:rFonts w:eastAsia="Calibri"/>
        <w:color w:val="555555"/>
        <w:sz w:val="17"/>
      </w:rPr>
      <w:t xml:space="preserve">Gözde Nur Ercan | </w:t>
    </w:r>
    <w:r>
      <w:rPr>
        <w:rFonts w:eastAsia="Calibri"/>
        <w:color w:val="555555"/>
        <w:sz w:val="17"/>
      </w:rPr>
      <w:fldChar w:fldCharType="begin"/>
    </w:r>
    <w:r>
      <w:rPr>
        <w:rFonts w:eastAsia="Calibri"/>
        <w:color w:val="555555"/>
        <w:sz w:val="17"/>
      </w:rPr>
      <w:instrText xml:space="preserve"> PAGE </w:instrText>
    </w:r>
    <w:r>
      <w:rPr>
        <w:rFonts w:eastAsia="Calibri"/>
        <w:color w:val="555555"/>
        <w:sz w:val="17"/>
      </w:rPr>
      <w:fldChar w:fldCharType="separate"/>
    </w:r>
    <w:r w:rsidR="00181EBF">
      <w:rPr>
        <w:rFonts w:eastAsia="Calibri"/>
        <w:noProof/>
        <w:color w:val="555555"/>
        <w:sz w:val="17"/>
      </w:rPr>
      <w:t>1</w:t>
    </w:r>
    <w:r>
      <w:rPr>
        <w:rFonts w:eastAsia="Calibri"/>
        <w:color w:val="555555"/>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77E17" w14:textId="77777777" w:rsidR="00E7769D" w:rsidRDefault="00E7769D">
      <w:pPr>
        <w:spacing w:after="0" w:line="240" w:lineRule="auto"/>
      </w:pPr>
      <w:r>
        <w:separator/>
      </w:r>
    </w:p>
  </w:footnote>
  <w:footnote w:type="continuationSeparator" w:id="0">
    <w:p w14:paraId="3F425E6F" w14:textId="77777777" w:rsidR="00E7769D" w:rsidRDefault="00E77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AD395" w14:textId="77777777" w:rsidR="00327903" w:rsidRDefault="00E7769D">
    <w:pPr>
      <w:pStyle w:val="Header"/>
      <w:jc w:val="center"/>
    </w:pPr>
    <w:r>
      <w:rPr>
        <w:rFonts w:eastAsia="Calibri"/>
        <w:color w:val="555555"/>
        <w:sz w:val="17"/>
      </w:rPr>
      <w:t>64th World Congress of Dance Research | Athens, 1-5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181EBF"/>
    <w:rsid w:val="0029639D"/>
    <w:rsid w:val="00326F90"/>
    <w:rsid w:val="00327903"/>
    <w:rsid w:val="00AA1D8D"/>
    <w:rsid w:val="00B47730"/>
    <w:rsid w:val="00BB0029"/>
    <w:rsid w:val="00CB0664"/>
    <w:rsid w:val="00E7769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FEE1D4"/>
  <w14:defaultImageDpi w14:val="300"/>
  <w15:docId w15:val="{7C5117D6-85BF-42B7-8F56-D8C21DCF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20" w:lineRule="auto"/>
      <w:jc w:val="both"/>
    </w:pPr>
    <w:rPr>
      <w:rFonts w:ascii="Calibri" w:hAnsi="Calibri"/>
      <w:color w:val="000000"/>
    </w:rPr>
  </w:style>
  <w:style w:type="paragraph" w:styleId="Heading1">
    <w:name w:val="heading 1"/>
    <w:basedOn w:val="Normal"/>
    <w:next w:val="Normal"/>
    <w:link w:val="Heading1Char"/>
    <w:uiPriority w:val="9"/>
    <w:qFormat/>
    <w:rsid w:val="00FC693F"/>
    <w:pPr>
      <w:keepNext/>
      <w:keepLines/>
      <w:spacing w:before="360" w:after="200" w:line="240" w:lineRule="auto"/>
      <w:jc w:val="left"/>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jc w:val="left"/>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jc w:val="left"/>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basedOn w:val="Normal"/>
    <w:pPr>
      <w:spacing w:after="140" w:line="288" w:lineRule="auto"/>
    </w:pPr>
    <w:rPr>
      <w:sz w:val="21"/>
    </w:rPr>
  </w:style>
  <w:style w:type="paragraph" w:customStyle="1" w:styleId="PublicationNote">
    <w:name w:val="Publication Note"/>
    <w:basedOn w:val="Normal"/>
    <w:pPr>
      <w:spacing w:before="40" w:after="200" w:line="276" w:lineRule="auto"/>
      <w:jc w:val="left"/>
    </w:pPr>
    <w:rPr>
      <w:i/>
      <w:color w:val="555555"/>
      <w:sz w:val="19"/>
    </w:rPr>
  </w:style>
  <w:style w:type="paragraph" w:customStyle="1" w:styleId="Reference">
    <w:name w:val="Reference"/>
    <w:basedOn w:val="Normal"/>
    <w:pPr>
      <w:spacing w:after="100" w:line="276" w:lineRule="auto"/>
      <w:ind w:left="403" w:hanging="403"/>
      <w:jc w:val="left"/>
    </w:pPr>
    <w:rPr>
      <w:sz w:val="20"/>
    </w:rPr>
  </w:style>
  <w:style w:type="paragraph" w:styleId="NormalWeb">
    <w:name w:val="Normal (Web)"/>
    <w:basedOn w:val="Normal"/>
    <w:uiPriority w:val="99"/>
    <w:unhideWhenUsed/>
    <w:rsid w:val="00181EBF"/>
    <w:pPr>
      <w:spacing w:before="100" w:beforeAutospacing="1" w:after="100" w:afterAutospacing="1" w:line="240" w:lineRule="auto"/>
      <w:jc w:val="left"/>
    </w:pPr>
    <w:rPr>
      <w:rFonts w:ascii="Times New Roman" w:eastAsia="Times New Roman" w:hAnsi="Times New Roman" w:cs="Times New Roman"/>
      <w:color w:val="auto"/>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74202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CA13A-14A1-4EDB-8F11-49D58C00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2028</Words>
  <Characters>11562</Characters>
  <Application>Microsoft Office Word</Application>
  <DocSecurity>4</DocSecurity>
  <Lines>96</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The Intersection of Ritual and Dance: Performance and Cultural Continuity in Thrace, with a Case Study of Cemal Oyunu</vt:lpstr>
      <vt:lpstr/>
    </vt:vector>
  </TitlesOfParts>
  <Manager/>
  <Company/>
  <LinksUpToDate>false</LinksUpToDate>
  <CharactersWithSpaces>13563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Ritual and Dance: Performance and Cultural Continuity in Thrace, with a Case Study of Cemal Oyunu</dc:title>
  <dc:subject>64th World Congress of Dance Research - Athens 2026 Proceedings</dc:subject>
  <dc:creator>Gözde Nur Ercan</dc:creator>
  <cp:keywords>Cemal Oyunu, ritual dance, ethnoarchaeology, Thrace</cp:keywords>
  <dc:description>Prepared for Congress proceedings submission.</dc:description>
  <cp:lastModifiedBy>user</cp:lastModifiedBy>
  <cp:revision>2</cp:revision>
  <dcterms:created xsi:type="dcterms:W3CDTF">2026-07-30T06:04:00Z</dcterms:created>
  <dcterms:modified xsi:type="dcterms:W3CDTF">2026-07-30T06:04:00Z</dcterms:modified>
  <cp:category/>
</cp:coreProperties>
</file>