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A6E57" w:rsidRDefault="005A6E57">
      <w:pPr>
        <w:jc w:val="center"/>
        <w:rPr>
          <w:b/>
          <w:bCs/>
          <w:sz w:val="28"/>
          <w:szCs w:val="28"/>
        </w:rPr>
      </w:pPr>
    </w:p>
    <w:p w14:paraId="00000002" w14:textId="77777777" w:rsidR="005A6E57" w:rsidRDefault="005A6E57">
      <w:pPr>
        <w:jc w:val="center"/>
        <w:rPr>
          <w:b/>
          <w:bCs/>
          <w:sz w:val="28"/>
          <w:szCs w:val="28"/>
        </w:rPr>
      </w:pPr>
    </w:p>
    <w:p w14:paraId="00000003" w14:textId="77777777" w:rsidR="005A6E57" w:rsidRDefault="009C1416">
      <w:pPr>
        <w:jc w:val="center"/>
        <w:rPr>
          <w:b/>
          <w:bCs/>
          <w:sz w:val="28"/>
          <w:szCs w:val="28"/>
        </w:rPr>
      </w:pPr>
      <w:r>
        <w:rPr>
          <w:b/>
          <w:bCs/>
          <w:sz w:val="28"/>
          <w:szCs w:val="28"/>
        </w:rPr>
        <w:t xml:space="preserve">Not Your Shastra </w:t>
      </w:r>
    </w:p>
    <w:p w14:paraId="00000004" w14:textId="77777777" w:rsidR="005A6E57" w:rsidRDefault="009C1416">
      <w:pPr>
        <w:jc w:val="center"/>
        <w:rPr>
          <w:b/>
          <w:bCs/>
          <w:sz w:val="28"/>
          <w:szCs w:val="28"/>
        </w:rPr>
      </w:pPr>
      <w:r>
        <w:rPr>
          <w:b/>
          <w:bCs/>
          <w:sz w:val="28"/>
          <w:szCs w:val="28"/>
        </w:rPr>
        <w:t>How India Colonized Manipuri Dance</w:t>
      </w:r>
    </w:p>
    <w:p w14:paraId="00000005" w14:textId="77777777" w:rsidR="005A6E57" w:rsidRDefault="005A6E57"/>
    <w:p w14:paraId="00000006" w14:textId="77777777" w:rsidR="005A6E57" w:rsidRDefault="009C1416">
      <w:r>
        <w:t xml:space="preserve">      </w:t>
      </w:r>
    </w:p>
    <w:p w14:paraId="00000007" w14:textId="77777777" w:rsidR="005A6E57" w:rsidRDefault="005A6E57"/>
    <w:p w14:paraId="00000008" w14:textId="77777777" w:rsidR="005A6E57" w:rsidRDefault="009C1416">
      <w:r>
        <w:t>The modern nation of India is renowned for the rich dance heritage that has been nurtured and celebrated within its borders. Since the earliest recorded historical period, dance has appeared as a cultural marker of the many tribes and peoples occupying thi</w:t>
      </w:r>
      <w:r>
        <w:t>s geographic cauldron of human activity. This essay concerns the story of Manipuri dance, one of the recognized “classical” dance traditions nurtured and supported by the Government of India as a national treasure. What is the history of Manipuri dance? Ho</w:t>
      </w:r>
      <w:r>
        <w:t>w did it get selected for recognition among the first group of dance styles chosen in 1953 by the Sangeet Natak Academy, the Indian government’s cultural arm, which was established to identify and support India’s music and dance traditions? Did the selecti</w:t>
      </w:r>
      <w:r>
        <w:t xml:space="preserve">on process bring about changes in the practice of teaching and performing Manipuri dance? How have literary references underpinned these changes? These questions guide this analysis. </w:t>
      </w:r>
    </w:p>
    <w:p w14:paraId="00000009" w14:textId="77777777" w:rsidR="005A6E57" w:rsidRDefault="005A6E57"/>
    <w:p w14:paraId="0000000A" w14:textId="77777777" w:rsidR="005A6E57" w:rsidRDefault="009C1416">
      <w:r>
        <w:t xml:space="preserve">      All the books used as references are in English, as the author is</w:t>
      </w:r>
      <w:r>
        <w:t xml:space="preserve"> an American student of Manipuri dance. I began my study of Indian dance in 1972 as a student of Bharatanatyam at Kalakshetra in Chennai, and several years later became entranced with Manipuri dance. I had never seen this unique style in India, but was luc</w:t>
      </w:r>
      <w:r>
        <w:t>ky to see one of the first touring productions of Manipuri dance at the Smithsonian Folk Life Festival in 1976. I changed my focus and travelled back to India, eventually earning a Visharad degree in 1982, from Sri Sri Govindaji Nartanalaya at Imphal. Sinc</w:t>
      </w:r>
      <w:r>
        <w:t>e that time I have been teaching and performing Manipuri dance, also known as Meitei Jagoi, in India and the United States.</w:t>
      </w:r>
    </w:p>
    <w:p w14:paraId="0000000B" w14:textId="77777777" w:rsidR="005A6E57" w:rsidRDefault="009C1416">
      <w:r>
        <w:t xml:space="preserve">       This essay will wade through misinformation about Manipuri dance which has arisen due to the number of non-Manipuris who have</w:t>
      </w:r>
      <w:r>
        <w:t xml:space="preserve"> attempted to understand and explain this dance technique to the world. A comprehensive list of the books referenced will be found in a bibliographic note. </w:t>
      </w:r>
    </w:p>
    <w:p w14:paraId="0000000C" w14:textId="77777777" w:rsidR="005A6E57" w:rsidRDefault="009C1416">
      <w:r>
        <w:t xml:space="preserve">       The first step in analyzing text references to dance, is understanding that dance is an embo</w:t>
      </w:r>
      <w:r>
        <w:t>died oral tradition. Dancers do not learn to dance by reading books. Learning dance begins in the home and in the community. In the earliest times, dance was generally a part of religious activity. Ritual worship often included some type of ceremonial move</w:t>
      </w:r>
      <w:r>
        <w:t>ment. The inspiration for these movements included imitation of the movement of animals, ecstatic movement caused by spiritual possession, and group dancing in celebration of important tribal events, such as successful hunts or harvest, victory over enemie</w:t>
      </w:r>
      <w:r>
        <w:t>s, or social events like marriage or birth of a child. These kinds of dancing are learned by imitation. When music was used, it would be chants or songs by the dancers or the onlookers. Everything passed from one generation to the next through oral traditi</w:t>
      </w:r>
      <w:r>
        <w:t xml:space="preserve">on. </w:t>
      </w:r>
    </w:p>
    <w:p w14:paraId="0000000D" w14:textId="77777777" w:rsidR="005A6E57" w:rsidRDefault="009C1416">
      <w:r>
        <w:t xml:space="preserve">       As humankind evolved and developed, people recorded their activities in a multitude of ways. Some of the earliest records of human existence are petroglyphs and cave paintings, </w:t>
      </w:r>
      <w:r>
        <w:lastRenderedPageBreak/>
        <w:t>then early sculptures made by molding clay or chipping wood and sto</w:t>
      </w:r>
      <w:r>
        <w:t>nes into representations of animal and human activity, including dancing figures. Eventually, the recording of history includes the written word along with various artistic expressions. Finally we reach the era of film and video, where it is possible to le</w:t>
      </w:r>
      <w:r>
        <w:t xml:space="preserve">arn by imitating a moving image on a screen. </w:t>
      </w:r>
    </w:p>
    <w:p w14:paraId="0000000E" w14:textId="77777777" w:rsidR="005A6E57" w:rsidRDefault="009C1416">
      <w:r>
        <w:t xml:space="preserve">       </w:t>
      </w:r>
    </w:p>
    <w:p w14:paraId="0000000F" w14:textId="77777777" w:rsidR="005A6E57" w:rsidRDefault="009C1416">
      <w:r>
        <w:t xml:space="preserve">       The history of dancing still largely lies in the written word and still images. How was dance passed on through the generations? As stated above, it  is mainly what we call oral tradition, meanin</w:t>
      </w:r>
      <w:r>
        <w:t>g that a dancer teaches an apprentice by demonstrating movement actively and explaining how each movement should look and feel. Another method is through direct imitation during dance rituals, when the children of a community follow the adults and mimic th</w:t>
      </w:r>
      <w:r>
        <w:t xml:space="preserve">eir actions. Even in the 21st century, this is the preferred method, as people watch dance on screens and imitate the steps. </w:t>
      </w:r>
    </w:p>
    <w:p w14:paraId="00000010" w14:textId="77777777" w:rsidR="005A6E57" w:rsidRDefault="009C1416">
      <w:r>
        <w:t xml:space="preserve">      As oral tradition descends through generations, changes occur. By reading books and seeing pictures, we can see how dance ha</w:t>
      </w:r>
      <w:r>
        <w:t>s evolved over time, and this is informative for scholars and historians. The difficulty is that the writers are not always dancers, and their descriptions are colored by their personal, cultural, and political beliefs about what they are recording. This w</w:t>
      </w:r>
      <w:r>
        <w:t xml:space="preserve">ill be demonstrated as we try to understand the history of Manipur through its indigenous dance traditions. </w:t>
      </w:r>
    </w:p>
    <w:p w14:paraId="00000011" w14:textId="77777777" w:rsidR="005A6E57" w:rsidRDefault="009C1416">
      <w:r>
        <w:t xml:space="preserve">       The earliest recorded events in the history of the land now known as Manipur are found in the chronicles of the kings, known as the Cheitaro</w:t>
      </w:r>
      <w:r>
        <w:t>l Kumbaba. In the words of historian Gangmumei Kabui, “The celebrated Cheitarol Kumbaba is the most important royal chronicle of Manipur which records the historical events of nearly two thousand years, covering the reign of 78 kings from Nongda Lauren Pak</w:t>
      </w:r>
      <w:r>
        <w:t>hangba (33 - 154 A.D.) to Bodhchandra Singh (1941 - 55).”</w:t>
      </w:r>
      <w:r>
        <w:rPr>
          <w:vertAlign w:val="superscript"/>
        </w:rPr>
        <w:footnoteReference w:id="1"/>
      </w:r>
    </w:p>
    <w:p w14:paraId="00000012" w14:textId="77777777" w:rsidR="005A6E57" w:rsidRDefault="009C1416">
      <w:r>
        <w:t xml:space="preserve">       It is also the time when the original religion of the Meitei people developed. The ancient clan leaders were identified with the sons of the Creator, namely Pakhangba and Sanamahi. Their my</w:t>
      </w:r>
      <w:r>
        <w:t>thology is acted out every year, in every village in Manipur, as part of the Lai Haraoba ritual celebration,a ceremony held by each ancestral village, during which their family deities, collectively known as Umang Lais (forest gods) are awakened, installed</w:t>
      </w:r>
      <w:r>
        <w:t xml:space="preserve"> on makeshift altars, and entertained by the villagers, who ask for their blessings in the coming year.</w:t>
      </w:r>
    </w:p>
    <w:p w14:paraId="00000013" w14:textId="77777777" w:rsidR="005A6E57" w:rsidRDefault="009C1416">
      <w:r>
        <w:t xml:space="preserve">       This is a complex and beautiful dance and music performance, which is led by Maibis, female religious leaders who are spiritual mediums, oracles,</w:t>
      </w:r>
      <w:r>
        <w:t xml:space="preserve"> midwives, herbal healers, and most of all, dancers. Their movement traditions bear the entire cultural and spiritual history of the Meitei people. Over the course of a week every spring, they dance out the history of the world according to Meitei belief. </w:t>
      </w:r>
      <w:r>
        <w:t xml:space="preserve">The world is molded from lumps of earth and rock by the Creator, but the Lai Nuras, a kind of angelic beings, dance on the earth, pressing it down with their feet until a smooth surface is formed. These angelic beings are useful, too, when the sons of the </w:t>
      </w:r>
      <w:r>
        <w:t>creator fight about who should inherit dominion over the earth. One of them takes the form of a rooster, the other of a tiger who tries to kill his rooster-brother. The Lai Nuras join hands and dance between the two warring brothers until everyone falls do</w:t>
      </w:r>
      <w:r>
        <w:t xml:space="preserve">wn exhausted. This event is memorialized right up to the present day. On the first full moon night of spring, young men and women perform an all-night dance called Thabal Chongba (moonlight jumping). They join hands </w:t>
      </w:r>
      <w:r>
        <w:lastRenderedPageBreak/>
        <w:t>in a big circle, alternating boy and gir</w:t>
      </w:r>
      <w:r>
        <w:t xml:space="preserve">l. It is a vigorous dance of swinging the arms and hopping around the circle until everyone is exhausted. They even shout out the sounds of the rooster (Kre-kre-kre) and the growls of the tiger (Mow Mow!) while dancing to the beat of a large drum. </w:t>
      </w:r>
    </w:p>
    <w:p w14:paraId="00000014" w14:textId="77777777" w:rsidR="005A6E57" w:rsidRDefault="009C1416">
      <w:r>
        <w:t xml:space="preserve">      M</w:t>
      </w:r>
      <w:r>
        <w:t>oving on to the depıctıon of human existence, a group of Maibis form a parade around the edge of the village green and start moving counter-clockwise while chanting a tribute to the Creator. They show by gestures how the human body was formed, each body pa</w:t>
      </w:r>
      <w:r>
        <w:t xml:space="preserve">rt in turn, and life breathed into the first man and woman. </w:t>
      </w:r>
    </w:p>
    <w:p w14:paraId="00000015" w14:textId="77777777" w:rsidR="005A6E57" w:rsidRDefault="009C1416">
      <w:r>
        <w:t xml:space="preserve">         My purpose here is not to describe the whole danced cosmology of the Meitei, but to show that dance was and is their medium of oral tradition. They act out in dance how fish are caught i</w:t>
      </w:r>
      <w:r>
        <w:t>n nets, how a house is built,  how cloth is woven. As the Maibis lead the dance, people of all ages participate by following, repeating the steps and hand gestures. These observances have gone on for centuries and are engraved in the minds and bodies of th</w:t>
      </w:r>
      <w:r>
        <w:t xml:space="preserve">e people to this day.  </w:t>
      </w:r>
    </w:p>
    <w:p w14:paraId="00000016" w14:textId="77777777" w:rsidR="005A6E57" w:rsidRDefault="009C1416">
      <w:r>
        <w:t xml:space="preserve">       Manipur, originally called Kangleipak or Meckley, is a geographic jewel box, a fertile valley which is cultivated in rice paddies, orchards, and vegetable gardens.There are three rivers and numerous ponds and lakes for fishin</w:t>
      </w:r>
      <w:r>
        <w:t>g. It is completely encircled by mountainous terrain, inhabited by hill tribes, famous hunters and fighters. It is physically cut off from the rest of India. In times of turmoil in greater India, to the South and West, or Burma to the East, different peopl</w:t>
      </w:r>
      <w:r>
        <w:t>es have migrated into the area as conquerors and refugees. They have brought their own languages and religions. Between the 15th to the 18th centuries, Brahmin Hindus immigrated to the fertile valley from Bengal to the south. They began proselytizing the r</w:t>
      </w:r>
      <w:r>
        <w:t xml:space="preserve">oyal family. They successfully persuaded the kings to convert to Hindu beliefs. </w:t>
      </w:r>
    </w:p>
    <w:p w14:paraId="00000017" w14:textId="77777777" w:rsidR="005A6E57" w:rsidRDefault="009C1416">
      <w:r>
        <w:t xml:space="preserve">      According to historian Gangmumei Kabui, “In the beginning of the 18th century, Manipur had a heterogenous population: the Meiteis of Imphal Valley  were the followers of</w:t>
      </w:r>
      <w:r>
        <w:t xml:space="preserve"> ancient Meitei religion; the tribes of the surrounding hills were practitioners of animistic tribal religion and the Shans of Kabaw Valley in the eastern frontier were Buddhists.” </w:t>
      </w:r>
      <w:r>
        <w:rPr>
          <w:vertAlign w:val="superscript"/>
        </w:rPr>
        <w:footnoteReference w:id="2"/>
      </w:r>
    </w:p>
    <w:p w14:paraId="00000018" w14:textId="77777777" w:rsidR="005A6E57" w:rsidRDefault="009C1416">
      <w:r>
        <w:t xml:space="preserve">      Gaudiya Vaishnavism, which is based on ecstatic chanting of the na</w:t>
      </w:r>
      <w:r>
        <w:t>me of Krishna and dancing in front of a deity, caught the imagination of King Pamheiba (1709 - 1749), later known by his Hinduized name Garibnawaz, who caused temples to be built, declared Vaishnavism the state religion, and that everyone should  become Hi</w:t>
      </w:r>
      <w:r>
        <w:t xml:space="preserve">ndus. </w:t>
      </w:r>
    </w:p>
    <w:p w14:paraId="00000019" w14:textId="77777777" w:rsidR="005A6E57" w:rsidRDefault="009C1416">
      <w:r>
        <w:t xml:space="preserve">      This was not an easy or smooth conversion, and in fact, never completely successful. The Brahmins who had come to Meckley, mainly from Bengal, were allowed to settle in the kingdom, as a group of Muslims had done in an earlier time. They were </w:t>
      </w:r>
      <w:r>
        <w:t xml:space="preserve">given plots of land and married Meitei women. The imposition of caste was problematic as no such social stratification existed. However, every male resident of the kingdom owed military service to the king, in the Lallup system, so the Brahmins proclaimed </w:t>
      </w:r>
      <w:r>
        <w:t xml:space="preserve">them to be Kshatriyas (warrior caste) and gave them the surname Singh or Singha. </w:t>
      </w:r>
    </w:p>
    <w:p w14:paraId="0000001A" w14:textId="77777777" w:rsidR="005A6E57" w:rsidRDefault="009C1416">
      <w:r>
        <w:t xml:space="preserve">      The Meiteis did not convert to Hinduism because they suddenly became enlightened, however. In the words of historian T.C. Hodson in his 1908 book, </w:t>
      </w:r>
      <w:r>
        <w:rPr>
          <w:i/>
          <w:iCs/>
        </w:rPr>
        <w:t>The Meiteis</w:t>
      </w:r>
      <w:r>
        <w:t xml:space="preserve">, “To the </w:t>
      </w:r>
      <w:r>
        <w:t>royal will of Pamheiba, the monarch in whose reign the fortunes of the State reached their zenith, Hinduism owes its present position as the official religion of the State. At first the decree of the king received but little obedience, and the opposition t</w:t>
      </w:r>
      <w:r>
        <w:t xml:space="preserve">o the change centered mainly around the members of the royal family, who were supported, not unnaturally, by the Maibas, the priests of </w:t>
      </w:r>
      <w:r>
        <w:lastRenderedPageBreak/>
        <w:t>the older religion. Religious dissent was received with the same ruthless severity as was meted out to political opponen</w:t>
      </w:r>
      <w:r>
        <w:t>ts, and wholesale banishments and executions drove the people into acceptance of the tenets of Hinduism…The old order of things has not passed away by any means, and the Maiba, doctor and priest of the animistic system, still finds a livelihood despite the</w:t>
      </w:r>
      <w:r>
        <w:t xml:space="preserve"> competition of on the one hand the Brahmin, and the Hospital Assistant on the other.”</w:t>
      </w:r>
      <w:r>
        <w:rPr>
          <w:vertAlign w:val="superscript"/>
        </w:rPr>
        <w:footnoteReference w:id="3"/>
      </w:r>
    </w:p>
    <w:p w14:paraId="0000001B" w14:textId="77777777" w:rsidR="005A6E57" w:rsidRDefault="009C1416">
      <w:r>
        <w:t xml:space="preserve">       During a period of political exile, caused by the occupation of Mekley by the Burmese army, the next king, Jai Singh or Bhagyachandra, was inspired in a dream to create a dance depicting Lord Krishna dancing with the cowherd maidens by the light of </w:t>
      </w:r>
      <w:r>
        <w:t xml:space="preserve">a full moon. He prayed to Krishna that he might be able to return to his kingdom, and when his prayer was granted, called together the members of the Pala Loisang, a conference of authorities for dance and music, and asked them to help recreate his vision </w:t>
      </w:r>
      <w:r>
        <w:t>and teach it to members of the royal family, who could perform in a temple dedicated to the new Hindu deities. So these dancers and  teachers created a  slow, graceful circular dance which would be reverently performed in a special hall where a consecrated</w:t>
      </w:r>
      <w:r>
        <w:t xml:space="preserve"> image of Lord Krishna would be installed. The King’s own daughter appeared as Radha, and the female members of the royal family took the role of gopis, the cowherd maidens. This was the birth of a new dance tradition in Mekley, using movement vocabulary f</w:t>
      </w:r>
      <w:r>
        <w:t xml:space="preserve">rom the Lai Haraoba to depict the new deities. </w:t>
      </w:r>
    </w:p>
    <w:p w14:paraId="0000001C" w14:textId="77777777" w:rsidR="005A6E57" w:rsidRDefault="009C1416">
      <w:r>
        <w:t xml:space="preserve">      The fascinating thing about Manipur is that, in spite of colonization and forced religious conversion which induced major changes in the dance practice, the original religious rituals which were the sou</w:t>
      </w:r>
      <w:r>
        <w:t>rce of the dance vocabulary still continue. The oral tradition is not lost. When I first visited Manipur in 1979, there was no television. So Indian influence, including Bollywood film music and dance, had almost no impact. The films shown in the cinema we</w:t>
      </w:r>
      <w:r>
        <w:t>re Manipuri productions in Meiteilon, the local language. The ancient religion of Lai Haraoba was in vigorous practice in every village locality.  It is rightly said that Meiteis may visit the Hindu temple in the morning, and join the Lai Haraoba celebrati</w:t>
      </w:r>
      <w:r>
        <w:t>on in the afternoon. This made it possible for me to learn both styles of dance, namely Meitei Jagoi and Ras Leela, and experience performances in their original settings, whether the village green or the Ras Mandap of the temple, or even on a modern stage</w:t>
      </w:r>
      <w:r>
        <w:t xml:space="preserve">. These experiences became the foundation of my research. </w:t>
      </w:r>
    </w:p>
    <w:p w14:paraId="0000001D" w14:textId="77777777" w:rsidR="005A6E57" w:rsidRDefault="009C1416">
      <w:r>
        <w:t xml:space="preserve">        The first colonization of Manipur and her dance tradition by Bengali Hindus having thus taken place, the state was still a remote kingdom perched in the borderlands between the Indian subco</w:t>
      </w:r>
      <w:r>
        <w:t>ntinent and Burma. How then did a unique indigenous dance tradition become part of India’s national narrative? Manipur was never strongly connected to the pan-Indian struggle for independence because it had never come under direct British rule. Like Sikkim</w:t>
      </w:r>
      <w:r>
        <w:t>, Bhutan and Nepal, Manipur was declared a “native state”,and a British Political Agent was installed. Under the British Tea Company, native states retained their own government systems. The British agents were there to conduct trade negotiations and maint</w:t>
      </w:r>
      <w:r>
        <w:t>ain military order. During this period, as Gangmumei Kabui commented, “Since the religious missionaries were engaging speakers, preaching Bengali school of Vaishnavism, the Hinduisation of Manipur was influenced by Bengali language and literature . . . For</w:t>
      </w:r>
      <w:r>
        <w:t xml:space="preserve"> the common people, Gaudiya Vaishnavism with its emphasis on Sankirtana . . and dance in Ras form suited them well.” </w:t>
      </w:r>
      <w:r>
        <w:rPr>
          <w:vertAlign w:val="superscript"/>
        </w:rPr>
        <w:footnoteReference w:id="4"/>
      </w:r>
    </w:p>
    <w:p w14:paraId="0000001E" w14:textId="77777777" w:rsidR="005A6E57" w:rsidRDefault="009C1416">
      <w:r>
        <w:t xml:space="preserve">      The next step in Sanskritization was the re-naming of Mekhley as Manipur, a name taken from the ancient epic Mahabharata which is </w:t>
      </w:r>
      <w:r>
        <w:t>one of the cornerstones of Hindu traditional religion and mythology. But such a major step happened without much fanfare, because the indigenous population was still focused on tribal culture. Their identities were based in the seven clans whose union form</w:t>
      </w:r>
      <w:r>
        <w:t xml:space="preserve">ed the Kingdom. These were warrior tribes that had banded together for protection from the powerful rulers of Burma and Assam who envied the fertile lands, forests, and water resources of the valley. </w:t>
      </w:r>
    </w:p>
    <w:p w14:paraId="0000001F" w14:textId="77777777" w:rsidR="005A6E57" w:rsidRDefault="009C1416">
      <w:r>
        <w:t xml:space="preserve">       Again in the words of Gangmumei Kabui, “Accordin</w:t>
      </w:r>
      <w:r>
        <w:t xml:space="preserve">g to the Manipuri historical work, </w:t>
      </w:r>
      <w:r>
        <w:rPr>
          <w:i/>
          <w:iCs/>
        </w:rPr>
        <w:t>Sanamahi Laikan</w:t>
      </w:r>
      <w:r>
        <w:t>, the name Manipur was first officially introduced in the early 18th century during the reign of Hinduized Garibnawaz (1709-48) . . . This name did not occur in the pre-Hindu literature, especially the chro</w:t>
      </w:r>
      <w:r>
        <w:t>nicles of the kingdom. Her indigenous names are Kangleipak, Poireipak, and Meitrabak. Mekhala was another name of the kingdom as indicated by a coin of the same king, describing him as Mekleshwar, lord of Mekhala or Mekhale. But the coins issued by his son</w:t>
      </w:r>
      <w:r>
        <w:t xml:space="preserve"> Raja Jai Singh and his successors adopted the title of Manipureshwar, the Lord of Manipur, and Meckley was discarded. Thus as a direct result of Sanskritization, these three names Mekhala, Meckley, and Manipur were used as the names of the Kingdom in the </w:t>
      </w:r>
      <w:r>
        <w:t>18th century. Later on, a Sanskrit work, Dhani Samhita, written in the reign of Gambhir Singh (1825-34) popularized the legends of the derivation of Mekhala and Manipur. It mentions the legend of Siva, Parvati, Ananta, according to which Siva and Parvati p</w:t>
      </w:r>
      <w:r>
        <w:t xml:space="preserve">erformed the Ras Lila in Manipur after draining away the water in the valley through a tunnel made by Siva’s trident. Ananta, the serpent God was overjoyed and took out gems from his hood and sprinkled the land with precious stones; hence, Manipur (mani = </w:t>
      </w:r>
      <w:r>
        <w:t>gem, pur = city or land) . . These were myths.created and popularized by the Brahmin scholars to give puranic derivation of ‘Manipur’.”</w:t>
      </w:r>
      <w:r>
        <w:rPr>
          <w:vertAlign w:val="superscript"/>
        </w:rPr>
        <w:footnoteReference w:id="5"/>
      </w:r>
    </w:p>
    <w:p w14:paraId="00000020" w14:textId="77777777" w:rsidR="005A6E57" w:rsidRDefault="009C1416">
      <w:r>
        <w:t>In other words, the King had been encouraged by the Brahmin Hindus to re-name the kingdom as Manipur, in order to give</w:t>
      </w:r>
      <w:r>
        <w:t xml:space="preserve"> it a quasi-historical connection to Hindu scriptures..</w:t>
      </w:r>
    </w:p>
    <w:p w14:paraId="00000021" w14:textId="77777777" w:rsidR="005A6E57" w:rsidRDefault="009C1416">
      <w:r>
        <w:t xml:space="preserve">      With these few notes we can eliminate from consideration one of the bases on which the scholarship connecting Manipuri dance with Vedic tradition was constructed. However, the Vaishnavite schola</w:t>
      </w:r>
      <w:r>
        <w:t xml:space="preserve">rs who had been installed at the newly-built Sri Sri Govindajee Temple in the Royal compound were persuasive.       Another scholar, Louise Lightfoot of Australia lived in Manipur for several years, learning Meitei language to communicate with teachers at </w:t>
      </w:r>
      <w:r>
        <w:t xml:space="preserve">a time when English was not known in the territory. In her words, </w:t>
      </w:r>
    </w:p>
    <w:p w14:paraId="00000022" w14:textId="77777777" w:rsidR="005A6E57" w:rsidRDefault="009C1416">
      <w:r>
        <w:t xml:space="preserve"> “The various sections of the Ras . . . gave opportunity to the gurus of Meitei Jagoi to invent and arrange some superb choreography utilizing ‘Punglon’ (language of the Meitei pung drum) w</w:t>
      </w:r>
      <w:r>
        <w:t>hich had not been incorporated into the old Lai Haraoba. Thus a new “Ras style” type of dance developed, based entirely on the old movements of Lai Haraoba. Because Hinduism is the background of the Ras, many scholars would like to prove that Ras dancing i</w:t>
      </w:r>
      <w:r>
        <w:t>tself is of Indian origin and in accordance with the rules of Hindu Natya Shastra. To me, these scholars seem to be wasting their time. The Jagoi of the Meiteis should not be judged by such terms as “Nritya”, “Nrrta”, “Mudras” and so on, for Jagoi is not o</w:t>
      </w:r>
      <w:r>
        <w:t>f Indian origin and has its own laws.”</w:t>
      </w:r>
      <w:r>
        <w:rPr>
          <w:vertAlign w:val="superscript"/>
        </w:rPr>
        <w:footnoteReference w:id="6"/>
      </w:r>
    </w:p>
    <w:p w14:paraId="00000023" w14:textId="77777777" w:rsidR="005A6E57" w:rsidRDefault="009C1416">
      <w:r>
        <w:t xml:space="preserve">      Although the creation of multiple performances of different Ras Lila productions was occurring at the Govindaji temple, these were not seen outside of Manipur. They were only performed during certain full-moon</w:t>
      </w:r>
      <w:r>
        <w:t xml:space="preserve"> celebrations on the Vaishnava calendar. No non-Manipuri or non-Hindu was permitted to be in the audience. It was a strictly religious observance. The participants were women of the royal family and other women of respectable social standing who would rehe</w:t>
      </w:r>
      <w:r>
        <w:t xml:space="preserve">arse for several months to take part in the Ras. </w:t>
      </w:r>
    </w:p>
    <w:p w14:paraId="00000024" w14:textId="77777777" w:rsidR="005A6E57" w:rsidRDefault="009C1416">
      <w:r>
        <w:t xml:space="preserve">      It is important to recognize that there were no devadasis, the dedicated women who were employed in temples to perform ceremonial worship of the deity, or dance and sing at temple festivals in the Sou</w:t>
      </w:r>
      <w:r>
        <w:t>thern part of India. The participants in the Ras were selected as a mark of honor to perform the Ras, but otherwise continued to live their normal lives, as schoolgirls, wives, mothers and daughters. It was generally a one-time opportunity, though there we</w:t>
      </w:r>
      <w:r>
        <w:t xml:space="preserve">re trained singers and dancers who took leadership roles on a regular basis. The Ras was never exhibited outside the state borders. </w:t>
      </w:r>
    </w:p>
    <w:p w14:paraId="00000025" w14:textId="77777777" w:rsidR="005A6E57" w:rsidRDefault="009C1416">
      <w:r>
        <w:t xml:space="preserve">      By the same token, Lai Haraoba was strictly a village festival, participated in by residents of each settlement, desc</w:t>
      </w:r>
      <w:r>
        <w:t>endants of the ancestral family or tribe that established the settlement in ancient times, and those dance rituals were also never seen outside of Manipur.How did this mysterious, hidden tradition join the ranks of Indian classical dance?</w:t>
      </w:r>
    </w:p>
    <w:p w14:paraId="00000026" w14:textId="77777777" w:rsidR="005A6E57" w:rsidRDefault="009C1416">
      <w:r>
        <w:t xml:space="preserve">       The culpri</w:t>
      </w:r>
      <w:r>
        <w:t>t is India’s most famous and influential poet, educator, composer and public intellectual, Rabindranath Tagore. This pioneering champion of Indian independence and inspiring leader of India’s advance into the modern world had established an academy for the</w:t>
      </w:r>
      <w:r>
        <w:t xml:space="preserve"> children of the Bengali elite on his family’s estates, where he practiced his revolutionary theories of education, one of which was that physical health was essential to mental health. Many of the classes were held out of doors, either sitting under trees</w:t>
      </w:r>
      <w:r>
        <w:t xml:space="preserve">, or walking through the wooded grounds and gardens while the teacher lectured, proposed problems, and encouraged the students to observe the natural world. The days began with exercises to promote physical strength. </w:t>
      </w:r>
    </w:p>
    <w:p w14:paraId="00000027" w14:textId="77777777" w:rsidR="005A6E57" w:rsidRDefault="009C1416">
      <w:r>
        <w:t xml:space="preserve">      How did Rabindranath Tagore get </w:t>
      </w:r>
      <w:r>
        <w:t>involved in the Sanskritization of Manipuri Dance? He was a popular author, poet, and public speaker. In fact he was India’s first Nobel Laureate for Literature. He was also a member of a significant Jamindar family, extensive property owners in Bengal. As</w:t>
      </w:r>
      <w:r>
        <w:t xml:space="preserve"> such he was able to travel on lecture tours all over the subcontinent, at the invitation of literary societies and royal patrons. He was a close friend of the Maharaja of Tripura, descendant of a line of kings who traditionally married Manipuri princesses</w:t>
      </w:r>
      <w:r>
        <w:t>, presumably to maintain an important alliance with a neighboring kingdom to the north. While visiting Tripura in 1917, he was treated to a performance of Manipuri dancing. Tagore was impressed by the modest costumes, the serene facial expressions, and the</w:t>
      </w:r>
      <w:r>
        <w:t xml:space="preserve"> gentle movement style which are all in stark contrast to the so-called “nautch” dancing which had fallen into disfavor in Indian society at the time. It was considered improper for young women to perform Indian dance in public,  so Tagore had been unable </w:t>
      </w:r>
      <w:r>
        <w:t>to enroll female students in dance classes.</w:t>
      </w:r>
    </w:p>
    <w:p w14:paraId="00000028" w14:textId="77777777" w:rsidR="005A6E57" w:rsidRDefault="009C1416">
      <w:r>
        <w:t xml:space="preserve">      Again in the words of Fabian Bowers, “ Tagore hoped that by transplanting the dance from Manipur to India proper, he would have the secret to regenerating dance throughout all India. . . Tagore installed a </w:t>
      </w:r>
      <w:r>
        <w:t>dance teacher from Manipur at Shantiniketan, an all-India school for arts in Bengal . . . He selected bits and pieces of the teacher’s instruction and molded them to fit his own dance-dramas. By simplifying the dance he made it possible for his students to</w:t>
      </w:r>
      <w:r>
        <w:t xml:space="preserve"> be dancers. What became known as “Manipuri dancing” was actually this Tagorean simplification. . . Manipuri dancing was completely new and unknown, there were no pre-conceived prejudices against it.”</w:t>
      </w:r>
      <w:r>
        <w:rPr>
          <w:vertAlign w:val="superscript"/>
        </w:rPr>
        <w:footnoteReference w:id="7"/>
      </w:r>
    </w:p>
    <w:p w14:paraId="00000029" w14:textId="77777777" w:rsidR="005A6E57" w:rsidRDefault="009C1416">
      <w:r>
        <w:t xml:space="preserve">      As Tagore was re-framing Manipuri dance to fit the preferences of the Bengali community, whose children were enrolled in this somewhat experimental school, he also engaged a Kathakali instructor from Kerala in South India. Because his ambition was to</w:t>
      </w:r>
      <w:r>
        <w:t xml:space="preserve"> present dance-dramas, incorporating story-telling from Indian mythology, there was a need for the theatricality of Kathakali dance, a technique which does emphatically incorporate the steps, postures, facial expressions, and hand gestures identified in th</w:t>
      </w:r>
      <w:r>
        <w:t>e Natya Shastra. The two movement traditions could not be more different, but Tagore was a creative artist, and everything was food for his inventive mind. He encouraged the teachers to work together. When gentle, poetic and feminine movement supported a s</w:t>
      </w:r>
      <w:r>
        <w:t>ong, Manipuri technique was perfect. When exciting passages required vivid storytelling, Kathakali was chosen to express the scene. Gradually over time a new dance form emerged, eventually known as Tagore Dance or Rabindrik style.</w:t>
      </w:r>
    </w:p>
    <w:p w14:paraId="0000002A" w14:textId="77777777" w:rsidR="005A6E57" w:rsidRDefault="009C1416">
      <w:r>
        <w:t xml:space="preserve">      Unfortunately for M</w:t>
      </w:r>
      <w:r>
        <w:t>anipuri dance, many students who had learned Manipuri dance at Shantiniketan became teachers of Manipuri dance in India, and the adulterated style endured. Many dance critics and cultural historians began producing books and articles about the dances of In</w:t>
      </w:r>
      <w:r>
        <w:t>dia, and almost all seemed infected by the Natya Shastra bug. In those early days, when the country was throwing off the bonds of British rule, scholars were eager to help form a new tradition of unity among the various tribes and kingdoms which became the</w:t>
      </w:r>
      <w:r>
        <w:t xml:space="preserve"> nation of India. Dance emerged as an important way to demonstrate identity. Politicians lauded Indian dances as symbols of ancient tradition, giving the nation its unique national character. Scholars were encouraged to research and celebrate the dances of</w:t>
      </w:r>
      <w:r>
        <w:t xml:space="preserve"> India. Several foreign dance enthusiasts were exploring, performing, and writing about dance in India, and Indian writers were eager to document this formerly under-appreciated subject.</w:t>
      </w:r>
    </w:p>
    <w:p w14:paraId="0000002B" w14:textId="77777777" w:rsidR="005A6E57" w:rsidRDefault="009C1416">
      <w:r>
        <w:t xml:space="preserve">      In 1967, Balakrishna Menon wrote in his  volume, </w:t>
      </w:r>
      <w:r>
        <w:rPr>
          <w:i/>
          <w:iCs/>
        </w:rPr>
        <w:t>Indian Classic</w:t>
      </w:r>
      <w:r>
        <w:rPr>
          <w:i/>
          <w:iCs/>
        </w:rPr>
        <w:t>al Dances</w:t>
      </w:r>
      <w:r>
        <w:t>: “All the four dances, namely Bharata Natya, Kathakali, Kathak, and Manipuri have been elaborated here. Natya Shastra is the root of all of them. . .  Bharata Natya, the most important of these, is the foundation on which the others have been bui</w:t>
      </w:r>
      <w:r>
        <w:t xml:space="preserve">lt. Bharata Natya outshines all the other dances as the oldest dance.” </w:t>
      </w:r>
    </w:p>
    <w:p w14:paraId="0000002C" w14:textId="77777777" w:rsidR="005A6E57" w:rsidRDefault="009C1416">
      <w:r>
        <w:t xml:space="preserve">       In 1979, the revered Indian dance critic Sunil Kothari produced a book entitled </w:t>
      </w:r>
      <w:r>
        <w:rPr>
          <w:i/>
          <w:iCs/>
        </w:rPr>
        <w:t>Bharata Natyam</w:t>
      </w:r>
      <w:r>
        <w:t>, with contributions by other scholars. In a section entitled Spiritual Background,</w:t>
      </w:r>
      <w:r>
        <w:t xml:space="preserve"> Rukmini Devi, dancer and founder of Kalakshetra College in Chennai, wrote as follows: “Bharata Natyam includes all forms of dances and dance dramas which are in accordance with the Shastra as laid down by the sage Bharata. . . Even other forms of dancing </w:t>
      </w:r>
      <w:r>
        <w:t>like Kathakali and Manipuri are  obviously variations of Bharata Natyam, though they have changed in character in accordance with the environment and the atmosphere of their surroundings.”</w:t>
      </w:r>
      <w:r>
        <w:rPr>
          <w:vertAlign w:val="superscript"/>
        </w:rPr>
        <w:footnoteReference w:id="8"/>
      </w:r>
    </w:p>
    <w:p w14:paraId="0000002D" w14:textId="77777777" w:rsidR="005A6E57" w:rsidRDefault="009C1416">
      <w:r>
        <w:t xml:space="preserve">      In 1945, Manjula Bhadury Santosh Chatterjee published a boo</w:t>
      </w:r>
      <w:r>
        <w:t xml:space="preserve">k entitled </w:t>
      </w:r>
      <w:r>
        <w:rPr>
          <w:i/>
          <w:iCs/>
        </w:rPr>
        <w:t>The Art of Hindu Dance</w:t>
      </w:r>
      <w:r>
        <w:t xml:space="preserve"> in Calcutta, (now Kolkata). Various chapters refer to four dance traditions which were then being promoted as India’s ciassıcal dances. Unfortunately at that time, Manipur was still a remote place which was only barely con</w:t>
      </w:r>
      <w:r>
        <w:t>nected to greater India by train and bus, and was not yet recognized as a state. In her book, Chatterjee refers to this dance style as Naga dance, connecting it to the tribal hunting communities of the Naga Hills, which became the state of Nagaland. We can</w:t>
      </w:r>
      <w:r>
        <w:t>not be sure from where Chatterjee obtained her information, but she describes the origin of Manipuri dance as follows:</w:t>
      </w:r>
    </w:p>
    <w:p w14:paraId="0000002E" w14:textId="77777777" w:rsidR="005A6E57" w:rsidRDefault="009C1416">
      <w:r>
        <w:t xml:space="preserve">       “The origin of the Manipuri-Naga dance dates as far back as the beginning of the 15th Century. Outside the pale of civilization, a</w:t>
      </w:r>
      <w:r>
        <w:t xml:space="preserve"> wild and furious tribe of people lived in nature, worshipped the Goddess of Might, feared the evil spirits and believed in black arts.According to a legend, it is known that once all the evil spirits cooperated and destroyed all crops, brought about epide</w:t>
      </w:r>
      <w:r>
        <w:t xml:space="preserve">mics among the people. The Naga chief was sad at heart . . . The Goddess of Might appeared before him in a dream and ordered him to perform a whole day celebration of music and dance to scare away the evil spirits. </w:t>
      </w:r>
    </w:p>
    <w:p w14:paraId="0000002F" w14:textId="77777777" w:rsidR="005A6E57" w:rsidRDefault="009C1416">
      <w:r>
        <w:t>Next morning, the chief ordered his subj</w:t>
      </w:r>
      <w:r>
        <w:t>ects to hold a ritualistic performance and everybody — old and young, man and woman, sick and healthy, — joined in the dance. The gods were pleased and they drove away the evil spirits. The fields yielded good crops, epidemics were gone and there was happi</w:t>
      </w:r>
      <w:r>
        <w:t>ness everywhere. Afterwards, dances came to be performed on every occasion of festivity.”</w:t>
      </w:r>
      <w:r>
        <w:rPr>
          <w:vertAlign w:val="superscript"/>
        </w:rPr>
        <w:footnoteReference w:id="9"/>
      </w:r>
    </w:p>
    <w:p w14:paraId="00000030" w14:textId="77777777" w:rsidR="005A6E57" w:rsidRDefault="009C1416">
      <w:r>
        <w:t xml:space="preserve"> Interestingly, although ascribed to the wrong ethnic group, this one of best descriptions of the genesis of the Lai Haraoba that I have seen from the Independence </w:t>
      </w:r>
      <w:r>
        <w:t xml:space="preserve">era. This paragraph was lifted word for word and printed (without credit) by the dancer Ram Gopal for his book </w:t>
      </w:r>
      <w:r>
        <w:rPr>
          <w:i/>
          <w:iCs/>
        </w:rPr>
        <w:t>Indian Dancing,</w:t>
      </w:r>
      <w:r>
        <w:t xml:space="preserve"> published in Great Britain in 1951.       </w:t>
      </w:r>
    </w:p>
    <w:p w14:paraId="00000031" w14:textId="77777777" w:rsidR="005A6E57" w:rsidRDefault="009C1416">
      <w:r>
        <w:t xml:space="preserve">      Once India became an independent nation in 1947, the urgent need to bring together a multiplicity of ethnic traditions into a cultural family became clear. In 1953, the Sangeet Natak Academy was created under the Ministry of Culture, to encourage, su</w:t>
      </w:r>
      <w:r>
        <w:t>pport and supervise performing arts activities in India. At first they recognized 4 styles of dance under the rubric Indian Classical Dance, namely Bharata Natyam (South), Kathakali (Southwest), Kathak (North), and Manipuri (Northeast). Even though Manipur</w:t>
      </w:r>
      <w:r>
        <w:t xml:space="preserve"> was not a state as yet, being a Union Territory until 1972, it was politically expedient to recognize the Northeastern quadrant of states, known as the Seven Sisters, which were racially and culturally divergent from mainstream India. Scholars in Manipur </w:t>
      </w:r>
      <w:r>
        <w:t xml:space="preserve">were called upon to justify the application of the term “classical” to the dance tradition. Classical, a European concept, was interpreted in Indian terms as “Shastric”, meaning based on ancient religious scriptures. In practice this referred to the Natya </w:t>
      </w:r>
      <w:r>
        <w:t>Shastra, which is regarded as the book of standards underpinning the performing arts, including theatrical presentations of all kinds, set down at the beginning of the Common Era by the mythical sage known as Bharata Muni. It is also known as the Natya Ved</w:t>
      </w:r>
      <w:r>
        <w:t>a, placing it among the religious texts of Hinduism. Thus it was important to demonstrate that Manipuri dance adhered to the shastric principals. Since Manipuri dance originated outside of Hindu religious tradition, it was the duty of the Manipuri scholars</w:t>
      </w:r>
      <w:r>
        <w:t xml:space="preserve"> to fill the void and create some documentary proof of the relationship in order to bring Meitei Jagoi into the Indian fold. </w:t>
      </w:r>
    </w:p>
    <w:p w14:paraId="00000032" w14:textId="77777777" w:rsidR="005A6E57" w:rsidRDefault="009C1416">
      <w:r>
        <w:t xml:space="preserve">      Many treatises have been written to explain how Manipuri dance embodies shastric principles.Most frequently, this is accompl</w:t>
      </w:r>
      <w:r>
        <w:t>ished by re-naming ancient Manipuri deities of the pre-Hindu spiritual practice with the names of Hindu gods. They often begin their analysis by telling a story of Shiva and Parvathi, male and female deities of Hinduism,saying that the Meitei people worshi</w:t>
      </w:r>
      <w:r>
        <w:t>p these gods under the names Nongpok Ningthou and Panthoibi. This kind of adoption of local animist deities into the Hindu fold has been common all over India.Then the authors present weak excuses as to why the shastras do not seem very evident in the danc</w:t>
      </w:r>
      <w:r>
        <w:t>e practice. Surchand Sharma, a Manipuri Brahmin, in his book</w:t>
      </w:r>
      <w:r>
        <w:rPr>
          <w:i/>
          <w:iCs/>
        </w:rPr>
        <w:t xml:space="preserve"> Bhangi In Manipuri Ras Dance</w:t>
      </w:r>
      <w:r>
        <w:t>, says, “To the average audience, the dance of the Ras may appear to be lacking in vigor, tempo, and expression, and also not following the principles of the Shastras.</w:t>
      </w:r>
      <w:r>
        <w:t>”</w:t>
      </w:r>
      <w:r>
        <w:rPr>
          <w:vertAlign w:val="superscript"/>
        </w:rPr>
        <w:footnoteReference w:id="10"/>
      </w:r>
    </w:p>
    <w:p w14:paraId="00000033" w14:textId="77777777" w:rsidR="005A6E57" w:rsidRDefault="009C1416">
      <w:r>
        <w:t xml:space="preserve">      E. Nilakanta Singh, in his book </w:t>
      </w:r>
      <w:r>
        <w:rPr>
          <w:i/>
          <w:iCs/>
        </w:rPr>
        <w:t>Manipuri Dance</w:t>
      </w:r>
      <w:r>
        <w:t>, states: "Whatever might have been the original faith of these people. . . Is reflected in the Lai Haraoba Festival . . . The Indian Natya Shastra tradition (right from 100 AD) has something to do wi</w:t>
      </w:r>
      <w:r>
        <w:t>th this festival even though much of the ancient meaning is lost at the moment.”</w:t>
      </w:r>
      <w:r>
        <w:rPr>
          <w:vertAlign w:val="superscript"/>
        </w:rPr>
        <w:footnoteReference w:id="11"/>
      </w:r>
      <w:r>
        <w:t xml:space="preserve"> In another book, </w:t>
      </w:r>
      <w:r>
        <w:rPr>
          <w:i/>
          <w:iCs/>
        </w:rPr>
        <w:t>Aspects of Indian Culture</w:t>
      </w:r>
      <w:r>
        <w:t>, Shri Nilakanta embroiders this concept of forgetfulness with regards to the origin of the Lai Haraoba. “It is indeed difficult to</w:t>
      </w:r>
      <w:r>
        <w:t xml:space="preserve"> speak with authority about the exact nature of cross fertilization of the tantric cults and Hindu rituals, which appears triumphantly in a Lai Haraoba Festival. Mention of this festival in essence has been made in some ancient books written in original Ma</w:t>
      </w:r>
      <w:r>
        <w:t xml:space="preserve">nipuri scripts, like </w:t>
      </w:r>
      <w:r>
        <w:rPr>
          <w:i/>
          <w:iCs/>
        </w:rPr>
        <w:t xml:space="preserve">Laithak Leikarol </w:t>
      </w:r>
      <w:r>
        <w:t>. . . Nowhere do we find mention of any Sanskrit term for the different mudras and postures of the body. It is possible that the people have forgotten the terminology through long disuse, though they recaptured the spi</w:t>
      </w:r>
      <w:r>
        <w:t>rit of the Natya Shastra tradition in their sculptured poses and subdued lyrical movements.”</w:t>
      </w:r>
      <w:r>
        <w:rPr>
          <w:vertAlign w:val="superscript"/>
        </w:rPr>
        <w:footnoteReference w:id="12"/>
      </w:r>
    </w:p>
    <w:p w14:paraId="00000034" w14:textId="77777777" w:rsidR="005A6E57" w:rsidRDefault="009C1416">
      <w:r>
        <w:t xml:space="preserve">      The renowned teacher and performer of Manipuri dance, Rajkumar Singhajit Singh, in his handbook </w:t>
      </w:r>
      <w:r>
        <w:rPr>
          <w:i/>
          <w:iCs/>
        </w:rPr>
        <w:t xml:space="preserve">Manipuri, </w:t>
      </w:r>
      <w:r>
        <w:t>is similarly hesitant to connect Manipuri dance w</w:t>
      </w:r>
      <w:r>
        <w:t>ith the Natya Shastra. “Continuity of action is one of the basic characteristics of the style. Frozen postures are relatively fewer as compared to other dance forms. One movement merges into another, giving a sense of continuity. Mudras in the form of froz</w:t>
      </w:r>
      <w:r>
        <w:t>en hand gestures are not given much importance. . . Gestures, whenever employed, are almost wrapped in the basic flow of movements while the message is conveyed in an unobtrusive manner. “</w:t>
      </w:r>
      <w:r>
        <w:rPr>
          <w:vertAlign w:val="superscript"/>
        </w:rPr>
        <w:footnoteReference w:id="13"/>
      </w:r>
      <w:r>
        <w:t xml:space="preserve"> Oja Singhajit also comments that Manipuri dance is designed for p</w:t>
      </w:r>
      <w:r>
        <w:t>resentation in the round, a kind of staging not recognized in the Natya Shastra, which describes square, oblong and triangular platforms only.</w:t>
      </w:r>
    </w:p>
    <w:p w14:paraId="00000035" w14:textId="77777777" w:rsidR="005A6E57" w:rsidRDefault="009C1416">
      <w:r>
        <w:t xml:space="preserve">      This kind of hesitation when discussing Manipuri dance was swept aside (temporarily) by the “discovery” (so</w:t>
      </w:r>
      <w:r>
        <w:t xml:space="preserve">-called) of an ancient manuscript, entitled </w:t>
      </w:r>
      <w:r>
        <w:rPr>
          <w:i/>
          <w:iCs/>
        </w:rPr>
        <w:t>Govinda Sangeet Lila Vilasa</w:t>
      </w:r>
      <w:r>
        <w:t>, purportedly penned by Maharaja Jai Singh (also known as Bhagyachanra), the creator of the first Manipuri Ras Lila. In it were found detailed references to the Natya Shastra, including</w:t>
      </w:r>
      <w:r>
        <w:t xml:space="preserve"> sketches of the hasta mudras, the hand movements used in Ras Leela, diagrams of foot positions and step patterns, and other information that put Manipuri dance squarely in the Natya Shastra tradition. In fact, in writing this thesis, I had to put aside se</w:t>
      </w:r>
      <w:r>
        <w:t>veral books about dance that incorporated references to that manuscript, since on my very first visit to Manipur I heard a lot of whispered conversations on this topic. It transpired that the manuscript was created by a very well-known Guru of Manipuri dan</w:t>
      </w:r>
      <w:r>
        <w:t>ce, Bipin Singh. He was already unpopular in some circles because he updated Manipuri dance by adding heavy slaps of the feet, even by female dancers, vigorous gestures, dramatic facial expressions, and the use of ankle bells which are not part of Manipuri</w:t>
      </w:r>
      <w:r>
        <w:t xml:space="preserve"> tradition. His adoption of Natya Shastra movement standards was complete. I have never been able to find a copy of this book, although an entire issue of Marg magazine, dated 1961, dedicated to Manipuri Dance, contained numerous references and illustratio</w:t>
      </w:r>
      <w:r>
        <w:t>ns excerpted from the volume.</w:t>
      </w:r>
    </w:p>
    <w:p w14:paraId="00000036" w14:textId="77777777" w:rsidR="005A6E57" w:rsidRDefault="009C1416">
      <w:r>
        <w:t xml:space="preserve">      The fakery was eventually revealed, most likely by the friend who had assisted in the charade by putting the manuscript in the thatched roof of his home, where smoke from the kitchen fires and moisture from the monsoon a</w:t>
      </w:r>
      <w:r>
        <w:t>ged the document believably. As a result of this trickery, the Guru was banished to Kolkata, where he continued to teach, write books, and choreograph dance productions, and garnered India’s highest awards over the course of his career. In fact I had begun</w:t>
      </w:r>
      <w:r>
        <w:t xml:space="preserve"> learning Manipuri dance in the Guru Bipin Singh tradition. The Guru himself was always extremely kind to me. I stayed in his family home and took lessons from his wife, the highly respected dancer and musician Guru Kalavati Devi. Afterwards, when I travel</w:t>
      </w:r>
      <w:r>
        <w:t>ed to Manipur, I learned from other gurus, principally Oja Th. Babu Singh, and members of the dance company Manipuri Jagoi Marup, and became attached to their more traditional style.</w:t>
      </w:r>
    </w:p>
    <w:p w14:paraId="00000037" w14:textId="77777777" w:rsidR="005A6E57" w:rsidRDefault="009C1416">
      <w:r>
        <w:t xml:space="preserve">      This situation continued to reverberate in 1989, when a jury select</w:t>
      </w:r>
      <w:r>
        <w:t xml:space="preserve">ed Guru Bipin Singh for the prestigious Kalidas Samman Award, bestowed annually by the Government of Maharashtra. A letter of protest signed by nearly every living luminary of the Manipuri Dance community, was quoted in </w:t>
      </w:r>
      <w:r>
        <w:rPr>
          <w:i/>
          <w:iCs/>
        </w:rPr>
        <w:t>Sruti Magazine</w:t>
      </w:r>
      <w:r>
        <w:t>, as follows:</w:t>
      </w:r>
    </w:p>
    <w:p w14:paraId="00000038" w14:textId="77777777" w:rsidR="005A6E57" w:rsidRDefault="005A6E57"/>
    <w:p w14:paraId="00000039" w14:textId="77777777" w:rsidR="005A6E57" w:rsidRDefault="009C1416">
      <w:r>
        <w:t xml:space="preserve">“For a </w:t>
      </w:r>
      <w:r>
        <w:t>long time, Sunil Kothari, E.Nilkanta Singh and Sumit Banerji have been working incessantly to build Bipin Singh’s image as an extraordinary great guru of Manipuri dance, whereas in Manipur the whole Manipuri society rejects his dance as un-Manipuri. An art</w:t>
      </w:r>
      <w:r>
        <w:t xml:space="preserve"> form absolutely alien to us is being actively circulated as Manipuri. How is it possible to create a Manipuri culture away from Manipuri culture, dependent only on the approval of non-Manipuris?” </w:t>
      </w:r>
    </w:p>
    <w:p w14:paraId="0000003A" w14:textId="77777777" w:rsidR="005A6E57" w:rsidRDefault="009C1416">
      <w:r>
        <w:t xml:space="preserve">      The statement of protest seeks to explain further wh</w:t>
      </w:r>
      <w:r>
        <w:t>y the conferment of the Kalidas Samman on Bipin Singh “has shocked the whole of Manipur.” It resurrects the charge that Bipin Singh once faked a book, claimed to have been written by Raja Bhagyachandra, and adds: “All the resultant storm of protest at Mani</w:t>
      </w:r>
      <w:r>
        <w:t>pur and all the representations of all the institutions and gurus of Manipur did not find even a word’s space in the Indian newspapers.”</w:t>
      </w:r>
      <w:r>
        <w:rPr>
          <w:vertAlign w:val="superscript"/>
        </w:rPr>
        <w:footnoteReference w:id="14"/>
      </w:r>
    </w:p>
    <w:p w14:paraId="0000003B" w14:textId="77777777" w:rsidR="005A6E57" w:rsidRDefault="009C1416">
      <w:r>
        <w:t xml:space="preserve">      The conflict between the forces of Sanskritization and the defenders of a completely indigenous dance tradition</w:t>
      </w:r>
      <w:r>
        <w:t xml:space="preserve"> was highly inflamed at this time. Shri Nilakanta himself takes up the argument in his 1982 book</w:t>
      </w:r>
      <w:r>
        <w:rPr>
          <w:i/>
          <w:iCs/>
        </w:rPr>
        <w:t>, Aspects of Indian Culture,</w:t>
      </w:r>
      <w:r>
        <w:t xml:space="preserve"> in describing the important contributions of the great guru, Oja Maisnam Amubi Singh, who was Guru Bipin Singh's teacher. After the</w:t>
      </w:r>
      <w:r>
        <w:t xml:space="preserve"> listing of the numerous high awards and titles bestowed by the Government of India upon Oja Amubi, Nilakanta muses as follows, </w:t>
      </w:r>
    </w:p>
    <w:p w14:paraId="0000003C" w14:textId="77777777" w:rsidR="005A6E57" w:rsidRDefault="009C1416">
      <w:r>
        <w:t>“it is not the awards so much that really matter but the image of Manipuri dance that Guru Amubi projected with particular refe</w:t>
      </w:r>
      <w:r>
        <w:t xml:space="preserve">rence to its future and also the impact left on the minds and hearts of many of his admirers and disciples. And what did the Guru find in Manipuri dance? Not much of the shastric abhinaya as some tend to emphasize nor an accent on tempo and vigour in tune </w:t>
      </w:r>
      <w:r>
        <w:t>with the other dance traditions of India. But “subdued eloquence” as the Guru stated in an interview. The tradition of restraint and dignity in common with the Eastern countries like Japan and Indonesia . . . Not expression so much but but a dramatic retic</w:t>
      </w:r>
      <w:r>
        <w:t>ence . . . and nobility: this is, perhaps, what Guru Amubi discovered in Manipuri dance tradition.”</w:t>
      </w:r>
      <w:r>
        <w:rPr>
          <w:vertAlign w:val="superscript"/>
        </w:rPr>
        <w:footnoteReference w:id="15"/>
      </w:r>
    </w:p>
    <w:p w14:paraId="0000003D" w14:textId="77777777" w:rsidR="005A6E57" w:rsidRDefault="009C1416">
      <w:r>
        <w:t xml:space="preserve">        I began this paper with quotations from non-Indian dance scholars who described Manipuri dance in English. The fact is that in the early days of I</w:t>
      </w:r>
      <w:r>
        <w:t>ndia’s independence, there was a high degree of fascination among foreign dancers and dance ethnologists focussed on the dances of India. The Government of India encouraged this kind of attention by sending troupes of dancers abroad, accompanying diplomati</w:t>
      </w:r>
      <w:r>
        <w:t>c missions and taking part in international festivals. Although I had recently returned from my studies of Bharata Natyam in South India, I caught my first glimpse of Manipuri dance at the Smithsonian Folk-Life Festival held in Washington, DC during the Bi</w:t>
      </w:r>
      <w:r>
        <w:t>-Centennial observances of 1976. A group of dancers from different parts of India was organized by the noted poet, author, playwright and screenwriter Maharaj Kumari Binodini Devi, whom I was able to meet in New York about 10 years later, when she was visi</w:t>
      </w:r>
      <w:r>
        <w:t>ting her son, noted film curator and prolific author L. Somi Roy. This daughter of a Maharaja of Manipur would of course include a troupe of accomplished Manipuri artists in the presentation, and it was a brilliant concert. The experience astonished me wit</w:t>
      </w:r>
      <w:r>
        <w:t>h its unusual beauty, elegance, and excitement. I was immediately struck by the desire to return to India and learn this mysterious and hypnotic dance.</w:t>
      </w:r>
    </w:p>
    <w:p w14:paraId="0000003E" w14:textId="77777777" w:rsidR="005A6E57" w:rsidRDefault="009C1416">
      <w:r>
        <w:t xml:space="preserve">      In the early days, when Manipur first became an Indian state, most of the Manipuri people had only</w:t>
      </w:r>
      <w:r>
        <w:t xml:space="preserve"> one experience of a language other than Meiteilon, which was Bengali. Many grew up in schools where the Bengali language and alphabet were taught exclusively. (Much more recently, a wave of activism swept through the state on behalf of the original Meitei</w:t>
      </w:r>
      <w:r>
        <w:t xml:space="preserve"> language and script, which are now taught in schools universally.) When it came time for the Government of India, through their newly formed Sangeet Natak Academy, to publicise their recognition of “classical” dances of India, as part of the effort to pro</w:t>
      </w:r>
      <w:r>
        <w:t>mote the concept of Unity in Diversity, there were few indigenous authorities on Manipuri dance able to write in Hindi or English, the recently-identified common languages of the country. There were, however, foreign artists, as well as students from Benga</w:t>
      </w:r>
      <w:r>
        <w:t>l and Gujarat who were learning the art, and were eager to step forward to write various articles and books. One of Manipur’s most prominent authorities on the cultural history of Manipur, Dr. Lokendra Arambam, made the case for the way these exterior writ</w:t>
      </w:r>
      <w:r>
        <w:t>ers managed, almost inadvertently, to create the myth that Manipuri dance is part of the Natya Shastra tradition. In a recent anthology, he writes as follows:</w:t>
      </w:r>
    </w:p>
    <w:p w14:paraId="0000003F" w14:textId="77777777" w:rsidR="005A6E57" w:rsidRDefault="009C1416">
      <w:r>
        <w:t xml:space="preserve">       “Since the 1960s, the Indian middle-class womanhood, with great prospects of international</w:t>
      </w:r>
      <w:r>
        <w:t xml:space="preserve"> recognition, accumulation of wealth and status as purveyors of manifold systems of Indian dance traditions, had taken over the responsibility of spreading Manipuri dance systems in the world community. Hence a relationship was developed within the communi</w:t>
      </w:r>
      <w:r>
        <w:t>ty of Indian dance practitioners with Manipuri elders who had inherited within their being the vital physical principles of performance. It became an intriguing interaction between the past masters of Indian classical dances and Manipuri elders to learn an</w:t>
      </w:r>
      <w:r>
        <w:t xml:space="preserve">ew the vocabularies, gesture and movement forms of Manipuri dancing, as a simple learner of a foreign idiom, and then to reinterpret, reassert the systems and principles of Manipuri dance movements and expressions within the existing fold of Hindu culture </w:t>
      </w:r>
      <w:r>
        <w:t>and civilization, which is already intrinsic to Indian learners.”</w:t>
      </w:r>
      <w:r>
        <w:rPr>
          <w:vertAlign w:val="superscript"/>
        </w:rPr>
        <w:footnoteReference w:id="16"/>
      </w:r>
    </w:p>
    <w:p w14:paraId="00000040" w14:textId="77777777" w:rsidR="005A6E57" w:rsidRDefault="009C1416">
      <w:r>
        <w:t xml:space="preserve">       When I read these words, a lightbulb went on in my brain! I finally understood why so many people were eager to drag Manipuri dance into the Natya Shastra fold. It was not from male</w:t>
      </w:r>
      <w:r>
        <w:t>volent intent, but really because it was too difficult for them to understand or teach it in other terms. These writers translated not only the spoken language of the indigenous teachers, but the physical language of the dancers’ bodies, into their own fam</w:t>
      </w:r>
      <w:r>
        <w:t>iliar shastric terminology. I suppose I myself might have fallen into the same trap, as a former student of Bharata Natyam. However, my teacher told me not to attend Bharata Natyam class for one year, until I could internalize the very different postures o</w:t>
      </w:r>
      <w:r>
        <w:t>f arms, legs and hands that were standard in Meitei Jagoi.</w:t>
      </w:r>
    </w:p>
    <w:p w14:paraId="00000041" w14:textId="77777777" w:rsidR="005A6E57" w:rsidRDefault="009C1416">
      <w:r>
        <w:t xml:space="preserve">       Actual damage has been done to the Meitei Jagoi tradition when it comes to identification of hasta mudras, described in the Natya Shastra, as belonging to Manipuri dance. There is no such co</w:t>
      </w:r>
      <w:r>
        <w:t>nnection.  In fact, one of the most unusual and beautiful aspects of Meitei Jagoi is the expressive flexion of the hands. These are not static positions, like sign language. They are mobile actions, which are coordinated with movements of the feet and body</w:t>
      </w:r>
      <w:r>
        <w:t>. When people trained in shastric dance traditions, such as Bharata Natyam, see the Meitei Jagoi movement known as Champra Hekpe (picking fruit), they immediately identify it with a hasta mudra known as Allapadma or Allapalava (blooming lotus) in other par</w:t>
      </w:r>
      <w:r>
        <w:t>ts of India. By describing Champra Hekpi as Allapallava, a dance movement involving hand, head, and upper body becomes a frozen pose, removing the essential accompanying wrist rotation and slow curling of the fingers that demonstrates the unique identity o</w:t>
      </w:r>
      <w:r>
        <w:t xml:space="preserve">f Meitei Jagoi. I never heard my teachers talking about fixed hand positions using the descriptive Sanskrit labels I had learned in Bharata Natyam class. Instead, there were dynamic actions including Champra Hekpe (picking oranges), Champra Okpi (dropping </w:t>
      </w:r>
      <w:r>
        <w:t>oranges), Champra Kaibi (Cutting oranges), Laising ka Phi (stretching cloth), Kujeng Leibi (spinning wrists) and the queen of them all Chali Pareng, a series of steps aligned with constantly folding, unfolding, and rippling of the fingers. None bear any re</w:t>
      </w:r>
      <w:r>
        <w:t xml:space="preserve">lation to the hastra mudras of the Natya Shastra or the Abhinaya Darpana, and should never be described using that terminology. </w:t>
      </w:r>
    </w:p>
    <w:p w14:paraId="00000042" w14:textId="77777777" w:rsidR="005A6E57" w:rsidRDefault="009C1416">
      <w:r>
        <w:t xml:space="preserve">      In fact, many of the movements of the hands are related to Manipur’s indigenous martial art tradition known as Thang-Ta. </w:t>
      </w:r>
      <w:r>
        <w:t xml:space="preserve"> For example, the defensive action of swirling a pair of swords overhead and around the body of the martial artist uses the same technique as the dance gesture known as Kujeng Leibi. This symbiotic relationship between dance and martial arts is described i</w:t>
      </w:r>
      <w:r>
        <w:t xml:space="preserve">n the article </w:t>
      </w:r>
      <w:r>
        <w:rPr>
          <w:i/>
          <w:iCs/>
        </w:rPr>
        <w:t>Thang-Ta: The Martial Art of Manipur, India,</w:t>
      </w:r>
      <w:r>
        <w:t xml:space="preserve"> by the expert practitioner of the form Khilton Nongmaithem, with his student Dainis Jirgensons, as follows:</w:t>
      </w:r>
    </w:p>
    <w:p w14:paraId="00000043" w14:textId="77777777" w:rsidR="005A6E57" w:rsidRDefault="009C1416">
      <w:r>
        <w:t xml:space="preserve">      “Before formally learning Thang-Ta, the student undergoes an initiation ceremony, the Ojah Boriba. . . After a ritual offering of various fruits, flowers, and other objects to Huyen Lalleima (goddess of war), the ojah, or teacher, will sprinkle the s</w:t>
      </w:r>
      <w:r>
        <w:t>tudent with water while chanting a hymn. The student prostrates himself at the feet of the teacher. . . However . . . the prospective student has been developing martial skills all along by playing certain games and doing the basic exercises. One such exer</w:t>
      </w:r>
      <w:r>
        <w:t>cise that is taught to every child involves the rotation of the wrists in a figure-eight pattern. This same movement is used in both swordplay and in traditional Manipuri dance. . . This is practiced until it can be done smoothly. In dance, it is only done</w:t>
      </w:r>
      <w:r>
        <w:t xml:space="preserve"> in one direction . . . but in Thang-Ta, it is also done in the reverse direction. This same wrist motion is further illustrated when using two swords . . . The movement is to be done to the front and sides of the body with extreme rapidity, such that the </w:t>
      </w:r>
      <w:r>
        <w:t>swords appear as a blur. This protects all sides of the body from attack, and represents a formidable attacking method as well.This is also the primary movement for the ritual sword dance.”</w:t>
      </w:r>
      <w:r>
        <w:rPr>
          <w:vertAlign w:val="superscript"/>
        </w:rPr>
        <w:footnoteReference w:id="17"/>
      </w:r>
    </w:p>
    <w:p w14:paraId="00000044" w14:textId="77777777" w:rsidR="005A6E57" w:rsidRDefault="009C1416">
      <w:r>
        <w:t xml:space="preserve">      I myself witnessed the manipulation of a baby’s wrists man</w:t>
      </w:r>
      <w:r>
        <w:t>y times in Manipur. While a toddler sits in the mother’s lap, the adult holds the baby’s hands and gently rotates the tiny fists while chanting, “ta-dhing,dhing, ta-dhing-dhing”, or singing a lullaby. The sword dance mentioned above is frequently performed</w:t>
      </w:r>
      <w:r>
        <w:t xml:space="preserve"> as part of the Lai Haraoba celebration.</w:t>
      </w:r>
    </w:p>
    <w:p w14:paraId="00000045" w14:textId="77777777" w:rsidR="005A6E57" w:rsidRDefault="009C1416">
      <w:r>
        <w:t xml:space="preserve">       Thang-Ta training also contributes to the typical soft, melting footwork of Meitei Jagoi.. According to Khilton Nongmaithem, the most basic training in Thang-Ta begins with learning animal gaits. The movement</w:t>
      </w:r>
      <w:r>
        <w:t>s of different birds and animals are imitated when hunting or advancing on the battlefield. When stalking a potential enemy, the stealthy steps of a crane approaching a fishpond enable the fighter to creep up to the enemy’s position unnoticed, and stab sud</w:t>
      </w:r>
      <w:r>
        <w:t xml:space="preserve">denly with a spear from an unexpected direction. In the same way, dancers learn to move softly in time to the music, seeming to float across the stage as if walking on clouds. This is why anklebells are totally inappropriate in Manipuri dance.  </w:t>
      </w:r>
    </w:p>
    <w:p w14:paraId="00000046" w14:textId="77777777" w:rsidR="005A6E57" w:rsidRDefault="009C1416">
      <w:r>
        <w:t xml:space="preserve">      This transgression of Meitei Jagoi tradition shocks me and should not be repeated. During a concert performance of Manipuri dance at the Smithsonian’s Meyer Auditorium in Washington, DC,, I saw Darshana Jhaveri, last performing member of the Jhaveri </w:t>
      </w:r>
      <w:r>
        <w:t>Sisters (disciples of Guru Bipin Singh), with Bharata Natyam-style ghungroos (ankle bells) peaking out incongruously under her costume. While a dancer appearing in the role of Krishna might be forgiven for wearing a string of bells on their ankles, it is c</w:t>
      </w:r>
      <w:r>
        <w:t xml:space="preserve">ompletely inappropriate for Manipuri Ras dancers otherwise. I have recently seen a video of Manipuri dancers in Bangladesh performing with ankle-bells. I learned that they were students of a member of Guru Bipin Singh’s extended family, so in this way the </w:t>
      </w:r>
      <w:r>
        <w:t>sins of the father have been visited upon the children.</w:t>
      </w:r>
    </w:p>
    <w:p w14:paraId="00000047" w14:textId="77777777" w:rsidR="005A6E57" w:rsidRDefault="005A6E57"/>
    <w:p w14:paraId="00000048" w14:textId="77777777" w:rsidR="005A6E57" w:rsidRDefault="009C1416">
      <w:r>
        <w:tab/>
      </w:r>
      <w:r>
        <w:tab/>
      </w:r>
      <w:r>
        <w:tab/>
      </w:r>
      <w:r>
        <w:tab/>
      </w:r>
      <w:r>
        <w:tab/>
        <w:t xml:space="preserve">  </w:t>
      </w:r>
      <w:r>
        <w:rPr>
          <w:b/>
          <w:bCs/>
          <w:sz w:val="28"/>
          <w:szCs w:val="28"/>
        </w:rPr>
        <w:t>Conclusion</w:t>
      </w:r>
    </w:p>
    <w:p w14:paraId="00000049" w14:textId="77777777" w:rsidR="005A6E57" w:rsidRDefault="005A6E57"/>
    <w:p w14:paraId="0000004A" w14:textId="77777777" w:rsidR="005A6E57" w:rsidRDefault="009C1416">
      <w:r>
        <w:t>The conclusion I have drawn from this research is that there are many ancient dance traditions in India. They have been handed down from teachers to disciples for hundreds of years</w:t>
      </w:r>
      <w:r>
        <w:t xml:space="preserve">. Throughout this long history, dances have changed in large and small ways, because as the teacher teaches and the student imitates, so many little changes occur. </w:t>
      </w:r>
    </w:p>
    <w:p w14:paraId="0000004B" w14:textId="77777777" w:rsidR="005A6E57" w:rsidRDefault="009C1416">
      <w:r>
        <w:t xml:space="preserve">      One thing I will say is that while I learned dance in India, in different cities and </w:t>
      </w:r>
      <w:r>
        <w:t>different styles, I selfom saw my teachers consult a book. They held their art in their brains and in their bodies. So each guru is constantly re-creating their art form, with magnificent results. But applying descriptive standards across genres is never a</w:t>
      </w:r>
      <w:r>
        <w:t xml:space="preserve">ppropriate, and can do real harm to the legacy of the ancestors who have nurtured an art form, intrinsic to a peoples’ identity, since the beginning of human life as depicted in their ancient stories of creation. </w:t>
      </w:r>
    </w:p>
    <w:p w14:paraId="0000004C" w14:textId="77777777" w:rsidR="005A6E57" w:rsidRDefault="005A6E57"/>
    <w:p w14:paraId="0000004D" w14:textId="77777777" w:rsidR="005A6E57" w:rsidRDefault="005A6E57"/>
    <w:p w14:paraId="0000004E" w14:textId="77777777" w:rsidR="005A6E57" w:rsidRDefault="005A6E57"/>
    <w:p w14:paraId="0000004F" w14:textId="77777777" w:rsidR="005A6E57" w:rsidRDefault="005A6E57"/>
    <w:p w14:paraId="00000050" w14:textId="77777777" w:rsidR="005A6E57" w:rsidRDefault="005A6E57"/>
    <w:p w14:paraId="00000051" w14:textId="77777777" w:rsidR="005A6E57" w:rsidRDefault="005A6E57"/>
    <w:p w14:paraId="00000052" w14:textId="77777777" w:rsidR="005A6E57" w:rsidRDefault="005A6E57"/>
    <w:p w14:paraId="00000053" w14:textId="77777777" w:rsidR="005A6E57" w:rsidRDefault="005A6E57"/>
    <w:p w14:paraId="00000054" w14:textId="77777777" w:rsidR="005A6E57" w:rsidRDefault="005A6E57"/>
    <w:p w14:paraId="00000055" w14:textId="77777777" w:rsidR="005A6E57" w:rsidRDefault="005A6E57"/>
    <w:p w14:paraId="00000056" w14:textId="77777777" w:rsidR="005A6E57" w:rsidRDefault="005A6E57"/>
    <w:p w14:paraId="00000057" w14:textId="77777777" w:rsidR="005A6E57" w:rsidRDefault="005A6E57">
      <w:pPr>
        <w:jc w:val="center"/>
        <w:rPr>
          <w:b/>
          <w:bCs/>
          <w:sz w:val="28"/>
          <w:szCs w:val="28"/>
        </w:rPr>
      </w:pPr>
    </w:p>
    <w:p w14:paraId="00000058" w14:textId="77777777" w:rsidR="005A6E57" w:rsidRDefault="005A6E57">
      <w:pPr>
        <w:jc w:val="center"/>
        <w:rPr>
          <w:b/>
          <w:bCs/>
          <w:sz w:val="28"/>
          <w:szCs w:val="28"/>
        </w:rPr>
      </w:pPr>
    </w:p>
    <w:p w14:paraId="00000059" w14:textId="77777777" w:rsidR="005A6E57" w:rsidRDefault="005A6E57">
      <w:pPr>
        <w:jc w:val="center"/>
        <w:rPr>
          <w:b/>
          <w:bCs/>
          <w:sz w:val="28"/>
          <w:szCs w:val="28"/>
        </w:rPr>
      </w:pPr>
    </w:p>
    <w:p w14:paraId="0000005A" w14:textId="77777777" w:rsidR="005A6E57" w:rsidRDefault="005A6E57">
      <w:pPr>
        <w:jc w:val="center"/>
        <w:rPr>
          <w:b/>
          <w:bCs/>
          <w:sz w:val="28"/>
          <w:szCs w:val="28"/>
        </w:rPr>
      </w:pPr>
    </w:p>
    <w:p w14:paraId="0000005B" w14:textId="77777777" w:rsidR="005A6E57" w:rsidRDefault="005A6E57">
      <w:pPr>
        <w:jc w:val="center"/>
        <w:rPr>
          <w:b/>
          <w:bCs/>
          <w:sz w:val="28"/>
          <w:szCs w:val="28"/>
        </w:rPr>
      </w:pPr>
    </w:p>
    <w:p w14:paraId="0000005C" w14:textId="77777777" w:rsidR="005A6E57" w:rsidRDefault="005A6E57">
      <w:pPr>
        <w:jc w:val="center"/>
        <w:rPr>
          <w:b/>
          <w:bCs/>
          <w:sz w:val="28"/>
          <w:szCs w:val="28"/>
        </w:rPr>
      </w:pPr>
    </w:p>
    <w:p w14:paraId="0000005D" w14:textId="77777777" w:rsidR="005A6E57" w:rsidRDefault="005A6E57">
      <w:pPr>
        <w:jc w:val="center"/>
        <w:rPr>
          <w:b/>
          <w:bCs/>
          <w:sz w:val="28"/>
          <w:szCs w:val="28"/>
        </w:rPr>
      </w:pPr>
    </w:p>
    <w:p w14:paraId="0000005E" w14:textId="77777777" w:rsidR="005A6E57" w:rsidRDefault="005A6E57">
      <w:pPr>
        <w:jc w:val="center"/>
        <w:rPr>
          <w:b/>
          <w:bCs/>
          <w:sz w:val="28"/>
          <w:szCs w:val="28"/>
        </w:rPr>
      </w:pPr>
    </w:p>
    <w:p w14:paraId="0000005F" w14:textId="77777777" w:rsidR="005A6E57" w:rsidRDefault="005A6E57">
      <w:pPr>
        <w:jc w:val="center"/>
        <w:rPr>
          <w:b/>
          <w:bCs/>
          <w:sz w:val="28"/>
          <w:szCs w:val="28"/>
        </w:rPr>
      </w:pPr>
    </w:p>
    <w:p w14:paraId="00000060" w14:textId="77777777" w:rsidR="005A6E57" w:rsidRDefault="005A6E57">
      <w:pPr>
        <w:jc w:val="center"/>
        <w:rPr>
          <w:b/>
          <w:bCs/>
          <w:sz w:val="28"/>
          <w:szCs w:val="28"/>
        </w:rPr>
      </w:pPr>
    </w:p>
    <w:p w14:paraId="00000061" w14:textId="77777777" w:rsidR="005A6E57" w:rsidRDefault="005A6E57">
      <w:pPr>
        <w:jc w:val="center"/>
        <w:rPr>
          <w:b/>
          <w:bCs/>
          <w:sz w:val="28"/>
          <w:szCs w:val="28"/>
        </w:rPr>
      </w:pPr>
    </w:p>
    <w:p w14:paraId="00000062" w14:textId="77777777" w:rsidR="005A6E57" w:rsidRDefault="005A6E57">
      <w:pPr>
        <w:jc w:val="center"/>
        <w:rPr>
          <w:b/>
          <w:bCs/>
          <w:sz w:val="28"/>
          <w:szCs w:val="28"/>
        </w:rPr>
      </w:pPr>
    </w:p>
    <w:p w14:paraId="00000063" w14:textId="77777777" w:rsidR="005A6E57" w:rsidRDefault="005A6E57">
      <w:pPr>
        <w:jc w:val="center"/>
        <w:rPr>
          <w:b/>
          <w:bCs/>
          <w:sz w:val="28"/>
          <w:szCs w:val="28"/>
        </w:rPr>
      </w:pPr>
    </w:p>
    <w:p w14:paraId="00000064" w14:textId="77777777" w:rsidR="005A6E57" w:rsidRDefault="005A6E57">
      <w:pPr>
        <w:jc w:val="center"/>
        <w:rPr>
          <w:b/>
          <w:bCs/>
          <w:sz w:val="28"/>
          <w:szCs w:val="28"/>
        </w:rPr>
      </w:pPr>
    </w:p>
    <w:p w14:paraId="00000065" w14:textId="77777777" w:rsidR="005A6E57" w:rsidRDefault="005A6E57">
      <w:pPr>
        <w:jc w:val="center"/>
        <w:rPr>
          <w:b/>
          <w:bCs/>
          <w:sz w:val="28"/>
          <w:szCs w:val="28"/>
        </w:rPr>
      </w:pPr>
    </w:p>
    <w:p w14:paraId="00000066" w14:textId="77777777" w:rsidR="005A6E57" w:rsidRDefault="009C1416">
      <w:pPr>
        <w:jc w:val="center"/>
        <w:rPr>
          <w:b/>
          <w:bCs/>
          <w:sz w:val="28"/>
          <w:szCs w:val="28"/>
        </w:rPr>
      </w:pPr>
      <w:r>
        <w:rPr>
          <w:b/>
          <w:bCs/>
          <w:sz w:val="28"/>
          <w:szCs w:val="28"/>
        </w:rPr>
        <w:t>Bibliography</w:t>
      </w:r>
    </w:p>
    <w:p w14:paraId="00000067" w14:textId="77777777" w:rsidR="005A6E57" w:rsidRDefault="005A6E57">
      <w:pPr>
        <w:jc w:val="center"/>
        <w:rPr>
          <w:b/>
          <w:bCs/>
          <w:sz w:val="28"/>
          <w:szCs w:val="28"/>
        </w:rPr>
      </w:pPr>
    </w:p>
    <w:p w14:paraId="00000068" w14:textId="77777777" w:rsidR="005A6E57" w:rsidRDefault="005A6E57">
      <w:pPr>
        <w:jc w:val="center"/>
        <w:rPr>
          <w:b/>
          <w:bCs/>
          <w:sz w:val="28"/>
          <w:szCs w:val="28"/>
        </w:rPr>
      </w:pPr>
    </w:p>
    <w:p w14:paraId="00000069" w14:textId="77777777" w:rsidR="005A6E57" w:rsidRDefault="009C1416">
      <w:pPr>
        <w:numPr>
          <w:ilvl w:val="0"/>
          <w:numId w:val="1"/>
        </w:numPr>
        <w:rPr>
          <w:sz w:val="28"/>
          <w:szCs w:val="28"/>
        </w:rPr>
      </w:pPr>
      <w:r>
        <w:rPr>
          <w:sz w:val="28"/>
          <w:szCs w:val="28"/>
        </w:rPr>
        <w:t xml:space="preserve">Anand, Mulk Raj, ed. - </w:t>
      </w:r>
      <w:r>
        <w:rPr>
          <w:i/>
          <w:iCs/>
          <w:sz w:val="28"/>
          <w:szCs w:val="28"/>
        </w:rPr>
        <w:t xml:space="preserve">Marg Manipuri, </w:t>
      </w:r>
      <w:r>
        <w:rPr>
          <w:sz w:val="28"/>
          <w:szCs w:val="28"/>
        </w:rPr>
        <w:t>Marg Publications, Bombay,1961</w:t>
      </w:r>
    </w:p>
    <w:p w14:paraId="0000006A" w14:textId="77777777" w:rsidR="005A6E57" w:rsidRDefault="009C1416">
      <w:pPr>
        <w:numPr>
          <w:ilvl w:val="0"/>
          <w:numId w:val="1"/>
        </w:numPr>
        <w:rPr>
          <w:sz w:val="28"/>
          <w:szCs w:val="28"/>
        </w:rPr>
      </w:pPr>
      <w:r>
        <w:rPr>
          <w:sz w:val="28"/>
          <w:szCs w:val="28"/>
        </w:rPr>
        <w:t xml:space="preserve">Arambam, Lokendra - </w:t>
      </w:r>
      <w:r>
        <w:rPr>
          <w:i/>
          <w:iCs/>
          <w:sz w:val="28"/>
          <w:szCs w:val="28"/>
        </w:rPr>
        <w:t xml:space="preserve">Patronage, Politics of Culture and the Dancing       Body of the Other: A North-east Indian Experience, </w:t>
      </w:r>
      <w:r>
        <w:rPr>
          <w:sz w:val="28"/>
          <w:szCs w:val="28"/>
        </w:rPr>
        <w:t xml:space="preserve">in Burridge and Munsi, eds., </w:t>
      </w:r>
      <w:r>
        <w:rPr>
          <w:i/>
          <w:iCs/>
          <w:sz w:val="28"/>
          <w:szCs w:val="28"/>
        </w:rPr>
        <w:t>Traversing Traditio</w:t>
      </w:r>
      <w:r>
        <w:rPr>
          <w:i/>
          <w:iCs/>
          <w:sz w:val="28"/>
          <w:szCs w:val="28"/>
        </w:rPr>
        <w:t xml:space="preserve">n, Celebrating Dance in India, </w:t>
      </w:r>
      <w:r>
        <w:rPr>
          <w:sz w:val="28"/>
          <w:szCs w:val="28"/>
        </w:rPr>
        <w:t>Routledge, New Delhi, 2011</w:t>
      </w:r>
    </w:p>
    <w:p w14:paraId="0000006B" w14:textId="77777777" w:rsidR="005A6E57" w:rsidRDefault="009C1416">
      <w:pPr>
        <w:numPr>
          <w:ilvl w:val="0"/>
          <w:numId w:val="1"/>
        </w:numPr>
        <w:rPr>
          <w:sz w:val="28"/>
          <w:szCs w:val="28"/>
        </w:rPr>
      </w:pPr>
      <w:r>
        <w:rPr>
          <w:sz w:val="28"/>
          <w:szCs w:val="28"/>
        </w:rPr>
        <w:t xml:space="preserve">Bhavnani, Enakshi - </w:t>
      </w:r>
      <w:r>
        <w:rPr>
          <w:i/>
          <w:iCs/>
          <w:sz w:val="28"/>
          <w:szCs w:val="28"/>
        </w:rPr>
        <w:t>The Dance in India,</w:t>
      </w:r>
      <w:r>
        <w:rPr>
          <w:sz w:val="28"/>
          <w:szCs w:val="28"/>
        </w:rPr>
        <w:t xml:space="preserve"> D.B. Taraporevala Sons &amp; Co. Private Ltd., Bombay, 1965</w:t>
      </w:r>
    </w:p>
    <w:p w14:paraId="0000006C" w14:textId="77777777" w:rsidR="005A6E57" w:rsidRDefault="009C1416">
      <w:pPr>
        <w:numPr>
          <w:ilvl w:val="0"/>
          <w:numId w:val="1"/>
        </w:numPr>
        <w:rPr>
          <w:sz w:val="28"/>
          <w:szCs w:val="28"/>
        </w:rPr>
      </w:pPr>
      <w:r>
        <w:rPr>
          <w:sz w:val="28"/>
          <w:szCs w:val="28"/>
        </w:rPr>
        <w:t xml:space="preserve">Bowers, Faubion - </w:t>
      </w:r>
      <w:r>
        <w:rPr>
          <w:i/>
          <w:iCs/>
          <w:sz w:val="28"/>
          <w:szCs w:val="28"/>
        </w:rPr>
        <w:t xml:space="preserve">The Dance in India, </w:t>
      </w:r>
      <w:r>
        <w:rPr>
          <w:sz w:val="28"/>
          <w:szCs w:val="28"/>
        </w:rPr>
        <w:t>Columbia University Press,New York,1953</w:t>
      </w:r>
    </w:p>
    <w:p w14:paraId="0000006D" w14:textId="77777777" w:rsidR="005A6E57" w:rsidRDefault="009C1416">
      <w:pPr>
        <w:numPr>
          <w:ilvl w:val="0"/>
          <w:numId w:val="1"/>
        </w:numPr>
        <w:rPr>
          <w:sz w:val="28"/>
          <w:szCs w:val="28"/>
        </w:rPr>
      </w:pPr>
      <w:r>
        <w:rPr>
          <w:sz w:val="28"/>
          <w:szCs w:val="28"/>
        </w:rPr>
        <w:t xml:space="preserve">Brara, Vijaylakshmi - </w:t>
      </w:r>
      <w:r>
        <w:rPr>
          <w:i/>
          <w:iCs/>
          <w:sz w:val="28"/>
          <w:szCs w:val="28"/>
        </w:rPr>
        <w:t>Po</w:t>
      </w:r>
      <w:r>
        <w:rPr>
          <w:i/>
          <w:iCs/>
          <w:sz w:val="28"/>
          <w:szCs w:val="28"/>
        </w:rPr>
        <w:t>litics, Society and Cosmology in India’s North East,</w:t>
      </w:r>
      <w:r>
        <w:rPr>
          <w:sz w:val="28"/>
          <w:szCs w:val="28"/>
        </w:rPr>
        <w:t>Oxford University Press, Delhi, 1998</w:t>
      </w:r>
    </w:p>
    <w:p w14:paraId="0000006E" w14:textId="77777777" w:rsidR="005A6E57" w:rsidRDefault="009C1416">
      <w:pPr>
        <w:numPr>
          <w:ilvl w:val="0"/>
          <w:numId w:val="1"/>
        </w:numPr>
        <w:rPr>
          <w:sz w:val="28"/>
          <w:szCs w:val="28"/>
        </w:rPr>
      </w:pPr>
      <w:r>
        <w:rPr>
          <w:sz w:val="28"/>
          <w:szCs w:val="28"/>
        </w:rPr>
        <w:t xml:space="preserve">Chatterjee, Manjula - </w:t>
      </w:r>
      <w:r>
        <w:rPr>
          <w:i/>
          <w:iCs/>
          <w:sz w:val="28"/>
          <w:szCs w:val="28"/>
        </w:rPr>
        <w:t xml:space="preserve">The Art of Hindu Dance, </w:t>
      </w:r>
      <w:r>
        <w:rPr>
          <w:sz w:val="28"/>
          <w:szCs w:val="28"/>
        </w:rPr>
        <w:t>S. K. Chatterjee, Calcutta, 1945</w:t>
      </w:r>
    </w:p>
    <w:p w14:paraId="0000006F" w14:textId="77777777" w:rsidR="005A6E57" w:rsidRDefault="009C1416">
      <w:pPr>
        <w:numPr>
          <w:ilvl w:val="0"/>
          <w:numId w:val="1"/>
        </w:numPr>
        <w:rPr>
          <w:sz w:val="28"/>
          <w:szCs w:val="28"/>
        </w:rPr>
      </w:pPr>
      <w:r>
        <w:rPr>
          <w:sz w:val="28"/>
          <w:szCs w:val="28"/>
        </w:rPr>
        <w:t xml:space="preserve">Devi, Adhikarimayum Radhamanbi,ed.- </w:t>
      </w:r>
      <w:r>
        <w:rPr>
          <w:i/>
          <w:iCs/>
          <w:sz w:val="28"/>
          <w:szCs w:val="28"/>
        </w:rPr>
        <w:t xml:space="preserve">Manipuri Dance and Culture: An Anthology, </w:t>
      </w:r>
      <w:r>
        <w:rPr>
          <w:sz w:val="28"/>
          <w:szCs w:val="28"/>
        </w:rPr>
        <w:t>Akansha Pu</w:t>
      </w:r>
      <w:r>
        <w:rPr>
          <w:sz w:val="28"/>
          <w:szCs w:val="28"/>
        </w:rPr>
        <w:t>blishing House, Delhi, 2018</w:t>
      </w:r>
    </w:p>
    <w:p w14:paraId="00000070" w14:textId="77777777" w:rsidR="005A6E57" w:rsidRDefault="009C1416">
      <w:pPr>
        <w:numPr>
          <w:ilvl w:val="0"/>
          <w:numId w:val="1"/>
        </w:numPr>
        <w:rPr>
          <w:sz w:val="28"/>
          <w:szCs w:val="28"/>
        </w:rPr>
      </w:pPr>
      <w:r>
        <w:rPr>
          <w:sz w:val="28"/>
          <w:szCs w:val="28"/>
        </w:rPr>
        <w:t xml:space="preserve">Devi, Ragini - </w:t>
      </w:r>
      <w:r>
        <w:rPr>
          <w:i/>
          <w:iCs/>
          <w:sz w:val="28"/>
          <w:szCs w:val="28"/>
        </w:rPr>
        <w:t xml:space="preserve">Dance Dialects of India, </w:t>
      </w:r>
      <w:r>
        <w:rPr>
          <w:sz w:val="28"/>
          <w:szCs w:val="28"/>
        </w:rPr>
        <w:t>Motilal Banarsidass, Delhi,1972</w:t>
      </w:r>
    </w:p>
    <w:p w14:paraId="00000071" w14:textId="77777777" w:rsidR="005A6E57" w:rsidRDefault="009C1416">
      <w:pPr>
        <w:numPr>
          <w:ilvl w:val="0"/>
          <w:numId w:val="1"/>
        </w:numPr>
        <w:rPr>
          <w:sz w:val="28"/>
          <w:szCs w:val="28"/>
        </w:rPr>
      </w:pPr>
      <w:r>
        <w:rPr>
          <w:sz w:val="28"/>
          <w:szCs w:val="28"/>
        </w:rPr>
        <w:t xml:space="preserve">Gopal, Ram - </w:t>
      </w:r>
      <w:r>
        <w:rPr>
          <w:i/>
          <w:iCs/>
          <w:sz w:val="28"/>
          <w:szCs w:val="28"/>
        </w:rPr>
        <w:t xml:space="preserve">Indian Dancing, </w:t>
      </w:r>
      <w:r>
        <w:rPr>
          <w:sz w:val="28"/>
          <w:szCs w:val="28"/>
        </w:rPr>
        <w:t>Phoenix House Limited, London, 1951</w:t>
      </w:r>
    </w:p>
    <w:p w14:paraId="00000072" w14:textId="77777777" w:rsidR="005A6E57" w:rsidRDefault="009C1416">
      <w:pPr>
        <w:rPr>
          <w:sz w:val="28"/>
          <w:szCs w:val="28"/>
        </w:rPr>
      </w:pPr>
      <w:r>
        <w:rPr>
          <w:sz w:val="28"/>
          <w:szCs w:val="28"/>
        </w:rPr>
        <w:t xml:space="preserve">   10. Hodson, T.C. - </w:t>
      </w:r>
      <w:r>
        <w:rPr>
          <w:i/>
          <w:iCs/>
          <w:sz w:val="28"/>
          <w:szCs w:val="28"/>
        </w:rPr>
        <w:t xml:space="preserve">The    Meitheis, </w:t>
      </w:r>
      <w:r>
        <w:rPr>
          <w:sz w:val="28"/>
          <w:szCs w:val="28"/>
        </w:rPr>
        <w:t>B.R. Publishing Corp., Delhi, 1908</w:t>
      </w:r>
    </w:p>
    <w:p w14:paraId="00000073" w14:textId="77777777" w:rsidR="005A6E57" w:rsidRDefault="009C1416">
      <w:pPr>
        <w:rPr>
          <w:i/>
          <w:iCs/>
          <w:sz w:val="28"/>
          <w:szCs w:val="28"/>
        </w:rPr>
      </w:pPr>
      <w:r>
        <w:rPr>
          <w:sz w:val="28"/>
          <w:szCs w:val="28"/>
        </w:rPr>
        <w:t xml:space="preserve">   11. Kabui, Gan</w:t>
      </w:r>
      <w:r>
        <w:rPr>
          <w:sz w:val="28"/>
          <w:szCs w:val="28"/>
        </w:rPr>
        <w:t xml:space="preserve">gmumei -  </w:t>
      </w:r>
      <w:r>
        <w:rPr>
          <w:i/>
          <w:iCs/>
          <w:sz w:val="28"/>
          <w:szCs w:val="28"/>
        </w:rPr>
        <w:t xml:space="preserve">History of Manipur Volume 1, Pre-Colonial          </w:t>
      </w:r>
    </w:p>
    <w:p w14:paraId="00000074" w14:textId="77777777" w:rsidR="005A6E57" w:rsidRDefault="009C1416">
      <w:pPr>
        <w:rPr>
          <w:sz w:val="28"/>
          <w:szCs w:val="28"/>
        </w:rPr>
      </w:pPr>
      <w:r>
        <w:rPr>
          <w:i/>
          <w:iCs/>
          <w:sz w:val="28"/>
          <w:szCs w:val="28"/>
        </w:rPr>
        <w:t xml:space="preserve">        Period, </w:t>
      </w:r>
      <w:r>
        <w:rPr>
          <w:sz w:val="28"/>
          <w:szCs w:val="28"/>
        </w:rPr>
        <w:t>National Publishing House</w:t>
      </w:r>
      <w:r>
        <w:rPr>
          <w:i/>
          <w:iCs/>
          <w:sz w:val="28"/>
          <w:szCs w:val="28"/>
        </w:rPr>
        <w:t xml:space="preserve">, </w:t>
      </w:r>
      <w:r>
        <w:rPr>
          <w:sz w:val="28"/>
          <w:szCs w:val="28"/>
        </w:rPr>
        <w:t xml:space="preserve">New Delhi 1991 </w:t>
      </w:r>
    </w:p>
    <w:p w14:paraId="00000075" w14:textId="77777777" w:rsidR="005A6E57" w:rsidRDefault="009C1416">
      <w:pPr>
        <w:rPr>
          <w:sz w:val="28"/>
          <w:szCs w:val="28"/>
        </w:rPr>
      </w:pPr>
      <w:r>
        <w:rPr>
          <w:sz w:val="28"/>
          <w:szCs w:val="28"/>
        </w:rPr>
        <w:t xml:space="preserve">    12. Kamei, Gangmumei - </w:t>
      </w:r>
      <w:r>
        <w:rPr>
          <w:i/>
          <w:iCs/>
          <w:sz w:val="28"/>
          <w:szCs w:val="28"/>
        </w:rPr>
        <w:t>A History of Modern Manipur, 1826-2000</w:t>
      </w:r>
      <w:r>
        <w:rPr>
          <w:sz w:val="28"/>
          <w:szCs w:val="28"/>
        </w:rPr>
        <w:t xml:space="preserve">  </w:t>
      </w:r>
    </w:p>
    <w:p w14:paraId="00000076" w14:textId="77777777" w:rsidR="005A6E57" w:rsidRDefault="009C1416">
      <w:pPr>
        <w:rPr>
          <w:sz w:val="28"/>
          <w:szCs w:val="28"/>
        </w:rPr>
      </w:pPr>
      <w:r>
        <w:rPr>
          <w:sz w:val="28"/>
          <w:szCs w:val="28"/>
        </w:rPr>
        <w:t xml:space="preserve">          Akansha Publishing House, New Delhi, 2015</w:t>
      </w:r>
    </w:p>
    <w:p w14:paraId="00000077" w14:textId="77777777" w:rsidR="005A6E57" w:rsidRDefault="009C1416">
      <w:pPr>
        <w:rPr>
          <w:sz w:val="28"/>
          <w:szCs w:val="28"/>
        </w:rPr>
      </w:pPr>
      <w:r>
        <w:rPr>
          <w:sz w:val="28"/>
          <w:szCs w:val="28"/>
        </w:rPr>
        <w:t xml:space="preserve">    13. Khokar,Mohan - </w:t>
      </w:r>
      <w:r>
        <w:rPr>
          <w:i/>
          <w:iCs/>
          <w:sz w:val="28"/>
          <w:szCs w:val="28"/>
        </w:rPr>
        <w:t>Traditions of Indian Classical Dance</w:t>
      </w:r>
      <w:r>
        <w:rPr>
          <w:sz w:val="28"/>
          <w:szCs w:val="28"/>
        </w:rPr>
        <w:t>, Clarion Books,</w:t>
      </w:r>
    </w:p>
    <w:p w14:paraId="00000078" w14:textId="77777777" w:rsidR="005A6E57" w:rsidRDefault="009C1416">
      <w:pPr>
        <w:ind w:firstLine="720"/>
        <w:rPr>
          <w:sz w:val="28"/>
          <w:szCs w:val="28"/>
        </w:rPr>
      </w:pPr>
      <w:r>
        <w:rPr>
          <w:sz w:val="28"/>
          <w:szCs w:val="28"/>
        </w:rPr>
        <w:t xml:space="preserve"> Delhi, 1979</w:t>
      </w:r>
    </w:p>
    <w:p w14:paraId="00000079" w14:textId="77777777" w:rsidR="005A6E57" w:rsidRDefault="009C1416">
      <w:pPr>
        <w:rPr>
          <w:sz w:val="28"/>
          <w:szCs w:val="28"/>
        </w:rPr>
      </w:pPr>
      <w:r>
        <w:rPr>
          <w:sz w:val="28"/>
          <w:szCs w:val="28"/>
        </w:rPr>
        <w:t xml:space="preserve">    </w:t>
      </w:r>
      <w:r>
        <w:rPr>
          <w:sz w:val="28"/>
          <w:szCs w:val="28"/>
        </w:rPr>
        <w:tab/>
        <w:t xml:space="preserve">14. Lightfoot, Louise - </w:t>
      </w:r>
      <w:r>
        <w:rPr>
          <w:i/>
          <w:iCs/>
          <w:sz w:val="28"/>
          <w:szCs w:val="28"/>
        </w:rPr>
        <w:t>Dance-Rituals of Manipur, India</w:t>
      </w:r>
      <w:r>
        <w:rPr>
          <w:sz w:val="28"/>
          <w:szCs w:val="28"/>
        </w:rPr>
        <w:t xml:space="preserve">, The Standard        </w:t>
      </w:r>
      <w:r>
        <w:rPr>
          <w:sz w:val="28"/>
          <w:szCs w:val="28"/>
        </w:rPr>
        <w:tab/>
        <w:t xml:space="preserve"> Press, Ltd., Hong Kong, 1958</w:t>
      </w:r>
    </w:p>
    <w:p w14:paraId="0000007A" w14:textId="77777777" w:rsidR="005A6E57" w:rsidRDefault="009C1416">
      <w:pPr>
        <w:ind w:left="720"/>
        <w:rPr>
          <w:sz w:val="28"/>
          <w:szCs w:val="28"/>
        </w:rPr>
      </w:pPr>
      <w:r>
        <w:rPr>
          <w:sz w:val="28"/>
          <w:szCs w:val="28"/>
        </w:rPr>
        <w:t>15</w:t>
      </w:r>
      <w:r>
        <w:rPr>
          <w:sz w:val="28"/>
          <w:szCs w:val="28"/>
        </w:rPr>
        <w:t xml:space="preserve">.  Massey, Reginald &amp; Jamila, </w:t>
      </w:r>
      <w:r>
        <w:rPr>
          <w:i/>
          <w:iCs/>
          <w:sz w:val="28"/>
          <w:szCs w:val="28"/>
        </w:rPr>
        <w:t xml:space="preserve">The Dances of India, </w:t>
      </w:r>
      <w:r>
        <w:rPr>
          <w:sz w:val="28"/>
          <w:szCs w:val="28"/>
        </w:rPr>
        <w:t>Tricolour Books,London, 1989</w:t>
      </w:r>
    </w:p>
    <w:p w14:paraId="0000007B" w14:textId="77777777" w:rsidR="005A6E57" w:rsidRDefault="009C1416">
      <w:pPr>
        <w:ind w:left="720"/>
        <w:rPr>
          <w:sz w:val="28"/>
          <w:szCs w:val="28"/>
        </w:rPr>
      </w:pPr>
      <w:r>
        <w:rPr>
          <w:sz w:val="28"/>
          <w:szCs w:val="28"/>
        </w:rPr>
        <w:t xml:space="preserve">16. Menon, Balakrishna, </w:t>
      </w:r>
      <w:r>
        <w:rPr>
          <w:i/>
          <w:iCs/>
          <w:sz w:val="28"/>
          <w:szCs w:val="28"/>
        </w:rPr>
        <w:t>Indian Classical Dances</w:t>
      </w:r>
      <w:r>
        <w:rPr>
          <w:sz w:val="28"/>
          <w:szCs w:val="28"/>
        </w:rPr>
        <w:t>, Rabindra        Bharati,1967</w:t>
      </w:r>
    </w:p>
    <w:p w14:paraId="0000007C" w14:textId="77777777" w:rsidR="005A6E57" w:rsidRDefault="009C1416">
      <w:pPr>
        <w:rPr>
          <w:sz w:val="28"/>
          <w:szCs w:val="28"/>
        </w:rPr>
      </w:pPr>
      <w:r>
        <w:rPr>
          <w:sz w:val="28"/>
          <w:szCs w:val="28"/>
        </w:rPr>
        <w:t xml:space="preserve">     </w:t>
      </w:r>
      <w:r>
        <w:rPr>
          <w:sz w:val="28"/>
          <w:szCs w:val="28"/>
        </w:rPr>
        <w:tab/>
        <w:t xml:space="preserve">17. Misra, Susheela, </w:t>
      </w:r>
      <w:r>
        <w:rPr>
          <w:i/>
          <w:iCs/>
          <w:sz w:val="28"/>
          <w:szCs w:val="28"/>
        </w:rPr>
        <w:t xml:space="preserve">Invitation to Indian Dances, </w:t>
      </w:r>
      <w:r>
        <w:rPr>
          <w:sz w:val="28"/>
          <w:szCs w:val="28"/>
        </w:rPr>
        <w:t>Arnold  Publishers,</w:t>
      </w:r>
    </w:p>
    <w:p w14:paraId="0000007D" w14:textId="77777777" w:rsidR="005A6E57" w:rsidRDefault="009C1416">
      <w:pPr>
        <w:rPr>
          <w:sz w:val="28"/>
          <w:szCs w:val="28"/>
        </w:rPr>
      </w:pPr>
      <w:r>
        <w:rPr>
          <w:sz w:val="28"/>
          <w:szCs w:val="28"/>
        </w:rPr>
        <w:t xml:space="preserve">          New Delhi,1987      </w:t>
      </w:r>
      <w:r>
        <w:rPr>
          <w:sz w:val="28"/>
          <w:szCs w:val="28"/>
        </w:rPr>
        <w:tab/>
      </w:r>
    </w:p>
    <w:p w14:paraId="0000007E" w14:textId="77777777" w:rsidR="005A6E57" w:rsidRDefault="009C1416">
      <w:pPr>
        <w:ind w:firstLine="720"/>
        <w:rPr>
          <w:sz w:val="28"/>
          <w:szCs w:val="28"/>
        </w:rPr>
      </w:pPr>
      <w:r>
        <w:rPr>
          <w:sz w:val="28"/>
          <w:szCs w:val="28"/>
        </w:rPr>
        <w:t xml:space="preserve">18. Kothari, Sunil - </w:t>
      </w:r>
      <w:r>
        <w:rPr>
          <w:i/>
          <w:iCs/>
          <w:sz w:val="28"/>
          <w:szCs w:val="28"/>
        </w:rPr>
        <w:t>Bharata Natyam</w:t>
      </w:r>
      <w:r>
        <w:rPr>
          <w:sz w:val="28"/>
          <w:szCs w:val="28"/>
        </w:rPr>
        <w:t>, Marg, Bombay,      1979</w:t>
      </w:r>
    </w:p>
    <w:p w14:paraId="0000007F" w14:textId="77777777" w:rsidR="005A6E57" w:rsidRDefault="009C1416">
      <w:pPr>
        <w:rPr>
          <w:i/>
          <w:iCs/>
          <w:sz w:val="28"/>
          <w:szCs w:val="28"/>
        </w:rPr>
      </w:pPr>
      <w:r>
        <w:rPr>
          <w:sz w:val="28"/>
          <w:szCs w:val="28"/>
        </w:rPr>
        <w:t xml:space="preserve">       </w:t>
      </w:r>
      <w:r>
        <w:rPr>
          <w:sz w:val="28"/>
          <w:szCs w:val="28"/>
        </w:rPr>
        <w:tab/>
        <w:t xml:space="preserve">19.Nongmaithem, Khilton and Jirgensons, Dainis - </w:t>
      </w:r>
      <w:r>
        <w:rPr>
          <w:i/>
          <w:iCs/>
          <w:sz w:val="28"/>
          <w:szCs w:val="28"/>
        </w:rPr>
        <w:t xml:space="preserve">Thang-Ta The                     </w:t>
      </w:r>
    </w:p>
    <w:p w14:paraId="00000080" w14:textId="77777777" w:rsidR="005A6E57" w:rsidRDefault="009C1416">
      <w:pPr>
        <w:ind w:left="720"/>
        <w:rPr>
          <w:sz w:val="28"/>
          <w:szCs w:val="28"/>
        </w:rPr>
      </w:pPr>
      <w:r>
        <w:rPr>
          <w:i/>
          <w:iCs/>
          <w:sz w:val="28"/>
          <w:szCs w:val="28"/>
        </w:rPr>
        <w:t xml:space="preserve">Martial  Art of Manipur India, </w:t>
      </w:r>
      <w:r>
        <w:rPr>
          <w:sz w:val="28"/>
          <w:szCs w:val="28"/>
        </w:rPr>
        <w:t>Journal of Asian Martial Arts Vol.7,Via M</w:t>
      </w:r>
      <w:r>
        <w:rPr>
          <w:sz w:val="28"/>
          <w:szCs w:val="28"/>
        </w:rPr>
        <w:t>edia Publishing Co., Erie, 1998</w:t>
      </w:r>
    </w:p>
    <w:p w14:paraId="00000081" w14:textId="77777777" w:rsidR="005A6E57" w:rsidRDefault="009C1416">
      <w:pPr>
        <w:ind w:left="720"/>
        <w:rPr>
          <w:sz w:val="28"/>
          <w:szCs w:val="28"/>
        </w:rPr>
      </w:pPr>
      <w:r>
        <w:rPr>
          <w:sz w:val="28"/>
          <w:szCs w:val="28"/>
        </w:rPr>
        <w:t xml:space="preserve">20. Parratt, John and Saroj Aramabam, </w:t>
      </w:r>
      <w:r>
        <w:rPr>
          <w:i/>
          <w:iCs/>
          <w:sz w:val="28"/>
          <w:szCs w:val="28"/>
        </w:rPr>
        <w:t xml:space="preserve">The History and Culture of            Manipur, </w:t>
      </w:r>
      <w:r>
        <w:rPr>
          <w:sz w:val="28"/>
          <w:szCs w:val="28"/>
        </w:rPr>
        <w:t>Hayloft Publishing Ltd., Cumbria, 2011</w:t>
      </w:r>
    </w:p>
    <w:p w14:paraId="00000082" w14:textId="77777777" w:rsidR="005A6E57" w:rsidRDefault="009C1416">
      <w:pPr>
        <w:ind w:left="720"/>
        <w:rPr>
          <w:sz w:val="28"/>
          <w:szCs w:val="28"/>
        </w:rPr>
      </w:pPr>
      <w:r>
        <w:rPr>
          <w:sz w:val="28"/>
          <w:szCs w:val="28"/>
        </w:rPr>
        <w:t xml:space="preserve">21. Parrot, John, </w:t>
      </w:r>
      <w:r>
        <w:rPr>
          <w:i/>
          <w:iCs/>
          <w:sz w:val="28"/>
          <w:szCs w:val="28"/>
        </w:rPr>
        <w:t xml:space="preserve">The Coils of Pakhangba, A Culture History of Meeteis, </w:t>
      </w:r>
      <w:r>
        <w:rPr>
          <w:sz w:val="28"/>
          <w:szCs w:val="28"/>
        </w:rPr>
        <w:t>Mittal Publications, New Del</w:t>
      </w:r>
      <w:r>
        <w:rPr>
          <w:sz w:val="28"/>
          <w:szCs w:val="28"/>
        </w:rPr>
        <w:t>hi, 2017</w:t>
      </w:r>
    </w:p>
    <w:p w14:paraId="00000083" w14:textId="77777777" w:rsidR="005A6E57" w:rsidRDefault="009C1416">
      <w:pPr>
        <w:ind w:left="720"/>
        <w:rPr>
          <w:sz w:val="28"/>
          <w:szCs w:val="28"/>
        </w:rPr>
      </w:pPr>
      <w:r>
        <w:rPr>
          <w:sz w:val="28"/>
          <w:szCs w:val="28"/>
        </w:rPr>
        <w:t xml:space="preserve">22. Roy, Jyotirmoy, </w:t>
      </w:r>
      <w:r>
        <w:rPr>
          <w:i/>
          <w:iCs/>
          <w:sz w:val="28"/>
          <w:szCs w:val="28"/>
        </w:rPr>
        <w:t>History of Manipur</w:t>
      </w:r>
      <w:r>
        <w:rPr>
          <w:sz w:val="28"/>
          <w:szCs w:val="28"/>
        </w:rPr>
        <w:t>, Eastlight Bookhouse, Calcutta, 1958</w:t>
      </w:r>
    </w:p>
    <w:p w14:paraId="00000084" w14:textId="77777777" w:rsidR="005A6E57" w:rsidRDefault="009C1416">
      <w:pPr>
        <w:ind w:left="720"/>
        <w:rPr>
          <w:sz w:val="28"/>
          <w:szCs w:val="28"/>
        </w:rPr>
      </w:pPr>
      <w:r>
        <w:rPr>
          <w:sz w:val="28"/>
          <w:szCs w:val="28"/>
        </w:rPr>
        <w:t xml:space="preserve">23. Samson, Leela, </w:t>
      </w:r>
      <w:r>
        <w:rPr>
          <w:i/>
          <w:iCs/>
          <w:sz w:val="28"/>
          <w:szCs w:val="28"/>
        </w:rPr>
        <w:t xml:space="preserve">Rhythm in Joy, </w:t>
      </w:r>
      <w:r>
        <w:rPr>
          <w:sz w:val="28"/>
          <w:szCs w:val="28"/>
        </w:rPr>
        <w:t>Lustre Press Pvt.Ltd., New Delhi, 1987</w:t>
      </w:r>
    </w:p>
    <w:p w14:paraId="00000085" w14:textId="77777777" w:rsidR="005A6E57" w:rsidRDefault="009C1416">
      <w:pPr>
        <w:ind w:left="720"/>
        <w:rPr>
          <w:sz w:val="28"/>
          <w:szCs w:val="28"/>
        </w:rPr>
      </w:pPr>
      <w:r>
        <w:rPr>
          <w:sz w:val="28"/>
          <w:szCs w:val="28"/>
        </w:rPr>
        <w:t xml:space="preserve">24. Sarabai, Mrinalini, </w:t>
      </w:r>
      <w:r>
        <w:rPr>
          <w:i/>
          <w:iCs/>
          <w:sz w:val="28"/>
          <w:szCs w:val="28"/>
        </w:rPr>
        <w:t xml:space="preserve">The Sacred Dance of India, </w:t>
      </w:r>
      <w:r>
        <w:rPr>
          <w:sz w:val="28"/>
          <w:szCs w:val="28"/>
        </w:rPr>
        <w:t>Bharatiya Vidya Bhavan, 1979</w:t>
      </w:r>
    </w:p>
    <w:p w14:paraId="00000086" w14:textId="77777777" w:rsidR="005A6E57" w:rsidRDefault="009C1416">
      <w:pPr>
        <w:ind w:left="720"/>
        <w:rPr>
          <w:sz w:val="28"/>
          <w:szCs w:val="28"/>
        </w:rPr>
      </w:pPr>
      <w:r>
        <w:rPr>
          <w:sz w:val="28"/>
          <w:szCs w:val="28"/>
        </w:rPr>
        <w:t>25. Sharma, Surcha</w:t>
      </w:r>
      <w:r>
        <w:rPr>
          <w:sz w:val="28"/>
          <w:szCs w:val="28"/>
        </w:rPr>
        <w:t xml:space="preserve">nd, </w:t>
      </w:r>
      <w:r>
        <w:rPr>
          <w:i/>
          <w:iCs/>
          <w:sz w:val="28"/>
          <w:szCs w:val="28"/>
        </w:rPr>
        <w:t xml:space="preserve">Bhangi in Manipuri Ras Dance, </w:t>
      </w:r>
      <w:r>
        <w:rPr>
          <w:sz w:val="28"/>
          <w:szCs w:val="28"/>
        </w:rPr>
        <w:t>pub. by author with support from Sangeet Natak Academy, 1993</w:t>
      </w:r>
    </w:p>
    <w:p w14:paraId="00000087" w14:textId="77777777" w:rsidR="005A6E57" w:rsidRDefault="009C1416">
      <w:pPr>
        <w:ind w:left="720"/>
        <w:rPr>
          <w:sz w:val="28"/>
          <w:szCs w:val="28"/>
        </w:rPr>
      </w:pPr>
      <w:r>
        <w:rPr>
          <w:sz w:val="28"/>
          <w:szCs w:val="28"/>
        </w:rPr>
        <w:t xml:space="preserve">26. Singh, E. Nilakanta, </w:t>
      </w:r>
      <w:r>
        <w:rPr>
          <w:i/>
          <w:iCs/>
          <w:sz w:val="28"/>
          <w:szCs w:val="28"/>
        </w:rPr>
        <w:t xml:space="preserve">Manipuri Dance, </w:t>
      </w:r>
      <w:r>
        <w:rPr>
          <w:sz w:val="28"/>
          <w:szCs w:val="28"/>
        </w:rPr>
        <w:t>Omsons Publications, New Delhi,1997</w:t>
      </w:r>
    </w:p>
    <w:p w14:paraId="00000088" w14:textId="77777777" w:rsidR="005A6E57" w:rsidRDefault="009C1416">
      <w:pPr>
        <w:ind w:left="720"/>
        <w:rPr>
          <w:sz w:val="28"/>
          <w:szCs w:val="28"/>
        </w:rPr>
      </w:pPr>
      <w:r>
        <w:rPr>
          <w:sz w:val="28"/>
          <w:szCs w:val="28"/>
        </w:rPr>
        <w:t xml:space="preserve"> 27. Singh, E. Nilakanta, </w:t>
      </w:r>
      <w:r>
        <w:rPr>
          <w:i/>
          <w:iCs/>
          <w:sz w:val="28"/>
          <w:szCs w:val="28"/>
        </w:rPr>
        <w:t>Aspects of Indian Culture</w:t>
      </w:r>
      <w:r>
        <w:rPr>
          <w:sz w:val="28"/>
          <w:szCs w:val="28"/>
        </w:rPr>
        <w:t>,</w:t>
      </w:r>
    </w:p>
    <w:p w14:paraId="00000089" w14:textId="77777777" w:rsidR="005A6E57" w:rsidRDefault="009C1416">
      <w:pPr>
        <w:ind w:left="720"/>
        <w:rPr>
          <w:sz w:val="28"/>
          <w:szCs w:val="28"/>
        </w:rPr>
      </w:pPr>
      <w:r>
        <w:rPr>
          <w:sz w:val="28"/>
          <w:szCs w:val="28"/>
        </w:rPr>
        <w:t>Jawaharlal Manipur Dance Academ</w:t>
      </w:r>
      <w:r>
        <w:rPr>
          <w:sz w:val="28"/>
          <w:szCs w:val="28"/>
        </w:rPr>
        <w:t>y, 1968</w:t>
      </w:r>
    </w:p>
    <w:p w14:paraId="0000008A" w14:textId="77777777" w:rsidR="005A6E57" w:rsidRDefault="009C1416">
      <w:pPr>
        <w:ind w:left="720"/>
        <w:rPr>
          <w:sz w:val="28"/>
          <w:szCs w:val="28"/>
        </w:rPr>
      </w:pPr>
      <w:r>
        <w:rPr>
          <w:sz w:val="28"/>
          <w:szCs w:val="28"/>
        </w:rPr>
        <w:t xml:space="preserve">28. Singh, RK Singhajit, </w:t>
      </w:r>
      <w:r>
        <w:rPr>
          <w:i/>
          <w:iCs/>
          <w:sz w:val="28"/>
          <w:szCs w:val="28"/>
        </w:rPr>
        <w:t xml:space="preserve">Manipuri, </w:t>
      </w:r>
      <w:r>
        <w:rPr>
          <w:sz w:val="28"/>
          <w:szCs w:val="28"/>
        </w:rPr>
        <w:t>Wisdom Tree, New Delhi, 2004</w:t>
      </w:r>
    </w:p>
    <w:p w14:paraId="0000008B" w14:textId="77777777" w:rsidR="005A6E57" w:rsidRDefault="009C1416">
      <w:pPr>
        <w:ind w:left="720"/>
        <w:rPr>
          <w:sz w:val="28"/>
          <w:szCs w:val="28"/>
        </w:rPr>
      </w:pPr>
      <w:r>
        <w:rPr>
          <w:sz w:val="28"/>
          <w:szCs w:val="28"/>
        </w:rPr>
        <w:t xml:space="preserve">29. Venkataraman, Leela, </w:t>
      </w:r>
      <w:r>
        <w:rPr>
          <w:i/>
          <w:iCs/>
          <w:sz w:val="28"/>
          <w:szCs w:val="28"/>
        </w:rPr>
        <w:t>Indian Classical Dance, Tradition in Transition</w:t>
      </w:r>
      <w:r>
        <w:rPr>
          <w:sz w:val="28"/>
          <w:szCs w:val="28"/>
        </w:rPr>
        <w:t>, Lustre Press Pvt.Ltd. New Delhi, 2002</w:t>
      </w:r>
    </w:p>
    <w:p w14:paraId="0000008C" w14:textId="77777777" w:rsidR="005A6E57" w:rsidRDefault="009C1416">
      <w:pPr>
        <w:ind w:left="720"/>
        <w:rPr>
          <w:sz w:val="28"/>
          <w:szCs w:val="28"/>
        </w:rPr>
      </w:pPr>
      <w:r>
        <w:rPr>
          <w:sz w:val="28"/>
          <w:szCs w:val="28"/>
        </w:rPr>
        <w:t xml:space="preserve"> 30.Wouters, Jelle and Tanka, Suba, eds.,</w:t>
      </w:r>
      <w:r>
        <w:rPr>
          <w:i/>
          <w:iCs/>
          <w:sz w:val="28"/>
          <w:szCs w:val="28"/>
        </w:rPr>
        <w:t>The Routledge Companion  to Nor</w:t>
      </w:r>
      <w:r>
        <w:rPr>
          <w:i/>
          <w:iCs/>
          <w:sz w:val="28"/>
          <w:szCs w:val="28"/>
        </w:rPr>
        <w:t>theast India,</w:t>
      </w:r>
      <w:r>
        <w:rPr>
          <w:sz w:val="28"/>
          <w:szCs w:val="28"/>
        </w:rPr>
        <w:t>Routledge, New York, 2023</w:t>
      </w:r>
    </w:p>
    <w:p w14:paraId="0000008D" w14:textId="77777777" w:rsidR="005A6E57" w:rsidRDefault="005A6E57">
      <w:pPr>
        <w:rPr>
          <w:sz w:val="28"/>
          <w:szCs w:val="28"/>
        </w:rPr>
      </w:pPr>
    </w:p>
    <w:p w14:paraId="0000008E" w14:textId="77777777" w:rsidR="005A6E57" w:rsidRDefault="005A6E57">
      <w:pPr>
        <w:rPr>
          <w:sz w:val="28"/>
          <w:szCs w:val="28"/>
        </w:rPr>
      </w:pPr>
    </w:p>
    <w:p w14:paraId="0000008F" w14:textId="77777777" w:rsidR="005A6E57" w:rsidRDefault="005A6E57">
      <w:pPr>
        <w:rPr>
          <w:sz w:val="28"/>
          <w:szCs w:val="28"/>
        </w:rPr>
      </w:pPr>
    </w:p>
    <w:p w14:paraId="00000090" w14:textId="77777777" w:rsidR="005A6E57" w:rsidRDefault="005A6E57"/>
    <w:p w14:paraId="00000091" w14:textId="77777777" w:rsidR="005A6E57" w:rsidRDefault="005A6E57"/>
    <w:p w14:paraId="00000092" w14:textId="77777777" w:rsidR="005A6E57" w:rsidRDefault="005A6E57"/>
    <w:p w14:paraId="00000093" w14:textId="77777777" w:rsidR="005A6E57" w:rsidRDefault="005A6E57"/>
    <w:p w14:paraId="00000094" w14:textId="77777777" w:rsidR="005A6E57" w:rsidRDefault="005A6E57"/>
    <w:sectPr w:rsidR="005A6E57">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322881" w14:textId="77777777" w:rsidR="00000000" w:rsidRDefault="009C1416">
      <w:pPr>
        <w:spacing w:line="240" w:lineRule="auto"/>
      </w:pPr>
      <w:r>
        <w:separator/>
      </w:r>
    </w:p>
  </w:endnote>
  <w:endnote w:type="continuationSeparator" w:id="0">
    <w:p w14:paraId="7E3EE40E" w14:textId="77777777" w:rsidR="00000000" w:rsidRDefault="009C14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embedRegular r:id="rId1" w:fontKey="{D675E5F2-5FB9-4F1E-B145-B23572089B10}"/>
  </w:font>
  <w:font w:name="Cambria">
    <w:panose1 w:val="02040503050406030204"/>
    <w:charset w:val="A1"/>
    <w:family w:val="roman"/>
    <w:pitch w:val="variable"/>
    <w:sig w:usb0="E00006FF" w:usb1="420024FF" w:usb2="02000000" w:usb3="00000000" w:csb0="0000019F" w:csb1="00000000"/>
    <w:embedRegular r:id="rId2" w:fontKey="{9468AFF1-4A28-4A1B-9B66-5CF634D2C6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AF" w14:textId="617653B9" w:rsidR="005A6E57" w:rsidRDefault="009C1416">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65520" w14:textId="77777777" w:rsidR="00000000" w:rsidRDefault="009C1416">
      <w:pPr>
        <w:spacing w:line="240" w:lineRule="auto"/>
      </w:pPr>
      <w:r>
        <w:separator/>
      </w:r>
    </w:p>
  </w:footnote>
  <w:footnote w:type="continuationSeparator" w:id="0">
    <w:p w14:paraId="49057A10" w14:textId="77777777" w:rsidR="00000000" w:rsidRDefault="009C1416">
      <w:pPr>
        <w:spacing w:line="240" w:lineRule="auto"/>
      </w:pPr>
      <w:r>
        <w:continuationSeparator/>
      </w:r>
    </w:p>
  </w:footnote>
  <w:footnote w:id="1">
    <w:p w14:paraId="00000095" w14:textId="77777777" w:rsidR="005A6E57" w:rsidRDefault="009C1416">
      <w:pPr>
        <w:spacing w:line="240" w:lineRule="auto"/>
        <w:rPr>
          <w:sz w:val="20"/>
          <w:szCs w:val="20"/>
        </w:rPr>
      </w:pPr>
      <w:r>
        <w:rPr>
          <w:vertAlign w:val="superscript"/>
        </w:rPr>
        <w:footnoteRef/>
      </w:r>
      <w:r>
        <w:rPr>
          <w:sz w:val="20"/>
          <w:szCs w:val="20"/>
        </w:rPr>
        <w:t xml:space="preserve"> G. Kabui, </w:t>
      </w:r>
      <w:r>
        <w:rPr>
          <w:i/>
          <w:iCs/>
          <w:sz w:val="20"/>
          <w:szCs w:val="20"/>
        </w:rPr>
        <w:t>History of Manipur Vol.1, Pre-Colonial Period,</w:t>
      </w:r>
      <w:r>
        <w:rPr>
          <w:sz w:val="20"/>
          <w:szCs w:val="20"/>
        </w:rPr>
        <w:t>National Publishing House, New Delhi, 1991, p.34</w:t>
      </w:r>
    </w:p>
    <w:p w14:paraId="00000096" w14:textId="77777777" w:rsidR="005A6E57" w:rsidRDefault="005A6E57">
      <w:pPr>
        <w:spacing w:line="240" w:lineRule="auto"/>
        <w:rPr>
          <w:sz w:val="20"/>
          <w:szCs w:val="20"/>
        </w:rPr>
      </w:pPr>
    </w:p>
  </w:footnote>
  <w:footnote w:id="2">
    <w:p w14:paraId="00000097" w14:textId="77777777" w:rsidR="005A6E57" w:rsidRDefault="009C1416">
      <w:pPr>
        <w:spacing w:line="240" w:lineRule="auto"/>
        <w:rPr>
          <w:i/>
          <w:iCs/>
          <w:sz w:val="20"/>
          <w:szCs w:val="20"/>
        </w:rPr>
      </w:pPr>
      <w:r>
        <w:rPr>
          <w:vertAlign w:val="superscript"/>
        </w:rPr>
        <w:footnoteRef/>
      </w:r>
      <w:r>
        <w:rPr>
          <w:sz w:val="20"/>
          <w:szCs w:val="20"/>
        </w:rPr>
        <w:t xml:space="preserve"> G. Kabui, </w:t>
      </w:r>
      <w:r>
        <w:rPr>
          <w:i/>
          <w:iCs/>
          <w:sz w:val="20"/>
          <w:szCs w:val="20"/>
        </w:rPr>
        <w:t>ibid.,p. 251</w:t>
      </w:r>
    </w:p>
  </w:footnote>
  <w:footnote w:id="3">
    <w:p w14:paraId="000000AC" w14:textId="77777777" w:rsidR="005A6E57" w:rsidRDefault="009C1416">
      <w:pPr>
        <w:spacing w:line="240" w:lineRule="auto"/>
        <w:rPr>
          <w:sz w:val="20"/>
          <w:szCs w:val="20"/>
        </w:rPr>
      </w:pPr>
      <w:r>
        <w:rPr>
          <w:vertAlign w:val="superscript"/>
        </w:rPr>
        <w:footnoteRef/>
      </w:r>
      <w:r>
        <w:rPr>
          <w:sz w:val="20"/>
          <w:szCs w:val="20"/>
        </w:rPr>
        <w:t xml:space="preserve"> T.C. Hodson, </w:t>
      </w:r>
      <w:r>
        <w:rPr>
          <w:i/>
          <w:iCs/>
          <w:sz w:val="20"/>
          <w:szCs w:val="20"/>
        </w:rPr>
        <w:t>The Meitheis</w:t>
      </w:r>
      <w:r>
        <w:rPr>
          <w:sz w:val="20"/>
          <w:szCs w:val="20"/>
        </w:rPr>
        <w:t>, B.R. Publishing Association,1908, p.95</w:t>
      </w:r>
    </w:p>
    <w:p w14:paraId="000000AD" w14:textId="77777777" w:rsidR="005A6E57" w:rsidRDefault="005A6E57">
      <w:pPr>
        <w:spacing w:line="240" w:lineRule="auto"/>
        <w:rPr>
          <w:sz w:val="20"/>
          <w:szCs w:val="20"/>
        </w:rPr>
      </w:pPr>
    </w:p>
  </w:footnote>
  <w:footnote w:id="4">
    <w:p w14:paraId="00000098" w14:textId="77777777" w:rsidR="005A6E57" w:rsidRDefault="009C1416">
      <w:pPr>
        <w:spacing w:line="240" w:lineRule="auto"/>
        <w:rPr>
          <w:sz w:val="20"/>
          <w:szCs w:val="20"/>
        </w:rPr>
      </w:pPr>
      <w:r>
        <w:rPr>
          <w:vertAlign w:val="superscript"/>
        </w:rPr>
        <w:footnoteRef/>
      </w:r>
      <w:r>
        <w:rPr>
          <w:sz w:val="20"/>
          <w:szCs w:val="20"/>
        </w:rPr>
        <w:t xml:space="preserve"> G. Kabui, ibid. P. 277</w:t>
      </w:r>
    </w:p>
  </w:footnote>
  <w:footnote w:id="5">
    <w:p w14:paraId="00000099" w14:textId="77777777" w:rsidR="005A6E57" w:rsidRDefault="009C1416">
      <w:pPr>
        <w:spacing w:line="240" w:lineRule="auto"/>
        <w:rPr>
          <w:sz w:val="20"/>
          <w:szCs w:val="20"/>
        </w:rPr>
      </w:pPr>
      <w:r>
        <w:rPr>
          <w:vertAlign w:val="superscript"/>
        </w:rPr>
        <w:footnoteRef/>
      </w:r>
      <w:r>
        <w:rPr>
          <w:sz w:val="20"/>
          <w:szCs w:val="20"/>
        </w:rPr>
        <w:t xml:space="preserve"> G. Kabui, ibid. P. 1</w:t>
      </w:r>
    </w:p>
    <w:p w14:paraId="0000009A" w14:textId="77777777" w:rsidR="005A6E57" w:rsidRDefault="005A6E57">
      <w:pPr>
        <w:spacing w:line="240" w:lineRule="auto"/>
        <w:rPr>
          <w:sz w:val="20"/>
          <w:szCs w:val="20"/>
        </w:rPr>
      </w:pPr>
    </w:p>
  </w:footnote>
  <w:footnote w:id="6">
    <w:p w14:paraId="0000009B" w14:textId="77777777" w:rsidR="005A6E57" w:rsidRDefault="009C1416">
      <w:pPr>
        <w:spacing w:line="240" w:lineRule="auto"/>
        <w:rPr>
          <w:sz w:val="20"/>
          <w:szCs w:val="20"/>
        </w:rPr>
      </w:pPr>
      <w:r>
        <w:rPr>
          <w:vertAlign w:val="superscript"/>
        </w:rPr>
        <w:footnoteRef/>
      </w:r>
      <w:r>
        <w:rPr>
          <w:sz w:val="20"/>
          <w:szCs w:val="20"/>
        </w:rPr>
        <w:t xml:space="preserve"> L. Lightfoot, </w:t>
      </w:r>
      <w:r>
        <w:rPr>
          <w:i/>
          <w:iCs/>
          <w:sz w:val="20"/>
          <w:szCs w:val="20"/>
        </w:rPr>
        <w:t xml:space="preserve">Dance Rituals of Manipur, India, </w:t>
      </w:r>
      <w:r>
        <w:rPr>
          <w:sz w:val="20"/>
          <w:szCs w:val="20"/>
        </w:rPr>
        <w:t>The Standard Press, Hong Kong,1958,p.62</w:t>
      </w:r>
    </w:p>
  </w:footnote>
  <w:footnote w:id="7">
    <w:p w14:paraId="0000009C" w14:textId="77777777" w:rsidR="005A6E57" w:rsidRDefault="009C1416">
      <w:pPr>
        <w:spacing w:line="240" w:lineRule="auto"/>
        <w:rPr>
          <w:sz w:val="20"/>
          <w:szCs w:val="20"/>
        </w:rPr>
      </w:pPr>
      <w:r>
        <w:rPr>
          <w:vertAlign w:val="superscript"/>
        </w:rPr>
        <w:footnoteRef/>
      </w:r>
      <w:r>
        <w:rPr>
          <w:sz w:val="20"/>
          <w:szCs w:val="20"/>
        </w:rPr>
        <w:t xml:space="preserve"> F. Bowers, op.cit., Pp 105-106</w:t>
      </w:r>
    </w:p>
  </w:footnote>
  <w:footnote w:id="8">
    <w:p w14:paraId="000000B0" w14:textId="77777777" w:rsidR="005A6E57" w:rsidRDefault="009C1416">
      <w:pPr>
        <w:spacing w:line="240" w:lineRule="auto"/>
        <w:rPr>
          <w:sz w:val="20"/>
          <w:szCs w:val="20"/>
        </w:rPr>
      </w:pPr>
      <w:r>
        <w:rPr>
          <w:vertAlign w:val="superscript"/>
        </w:rPr>
        <w:footnoteRef/>
      </w:r>
      <w:r>
        <w:rPr>
          <w:sz w:val="20"/>
          <w:szCs w:val="20"/>
        </w:rPr>
        <w:t xml:space="preserve"> R. Devi, S. Kothari, </w:t>
      </w:r>
      <w:r>
        <w:rPr>
          <w:i/>
          <w:iCs/>
          <w:sz w:val="20"/>
          <w:szCs w:val="20"/>
        </w:rPr>
        <w:t xml:space="preserve">Bharata Natyam, </w:t>
      </w:r>
      <w:r>
        <w:rPr>
          <w:sz w:val="20"/>
          <w:szCs w:val="20"/>
        </w:rPr>
        <w:t xml:space="preserve">Marg Publications, Bombay, 1979 </w:t>
      </w:r>
    </w:p>
  </w:footnote>
  <w:footnote w:id="9">
    <w:p w14:paraId="0000009D" w14:textId="77777777" w:rsidR="005A6E57" w:rsidRDefault="009C1416">
      <w:pPr>
        <w:spacing w:line="240" w:lineRule="auto"/>
        <w:rPr>
          <w:sz w:val="20"/>
          <w:szCs w:val="20"/>
        </w:rPr>
      </w:pPr>
      <w:r>
        <w:rPr>
          <w:vertAlign w:val="superscript"/>
        </w:rPr>
        <w:footnoteRef/>
      </w:r>
      <w:r>
        <w:rPr>
          <w:sz w:val="20"/>
          <w:szCs w:val="20"/>
        </w:rPr>
        <w:t xml:space="preserve"> M. Chatterjee, </w:t>
      </w:r>
      <w:r>
        <w:rPr>
          <w:i/>
          <w:iCs/>
          <w:sz w:val="20"/>
          <w:szCs w:val="20"/>
        </w:rPr>
        <w:t>The Art of Hindu Dance,</w:t>
      </w:r>
      <w:r>
        <w:rPr>
          <w:sz w:val="20"/>
          <w:szCs w:val="20"/>
        </w:rPr>
        <w:t xml:space="preserve"> S.K. Chatterjee, Calcutta, 1945 p. 242</w:t>
      </w:r>
    </w:p>
    <w:p w14:paraId="0000009E" w14:textId="77777777" w:rsidR="005A6E57" w:rsidRDefault="005A6E57">
      <w:pPr>
        <w:spacing w:line="240" w:lineRule="auto"/>
      </w:pPr>
    </w:p>
    <w:p w14:paraId="0000009F" w14:textId="77777777" w:rsidR="005A6E57" w:rsidRDefault="005A6E57">
      <w:pPr>
        <w:spacing w:line="240" w:lineRule="auto"/>
      </w:pPr>
    </w:p>
  </w:footnote>
  <w:footnote w:id="10">
    <w:p w14:paraId="000000A1" w14:textId="77777777" w:rsidR="005A6E57" w:rsidRDefault="009C1416">
      <w:pPr>
        <w:spacing w:line="240" w:lineRule="auto"/>
        <w:rPr>
          <w:sz w:val="20"/>
          <w:szCs w:val="20"/>
        </w:rPr>
      </w:pPr>
      <w:r>
        <w:rPr>
          <w:vertAlign w:val="superscript"/>
        </w:rPr>
        <w:footnoteRef/>
      </w:r>
      <w:r>
        <w:rPr>
          <w:sz w:val="20"/>
          <w:szCs w:val="20"/>
        </w:rPr>
        <w:t xml:space="preserve"> S. Sharma, </w:t>
      </w:r>
      <w:r>
        <w:rPr>
          <w:i/>
          <w:iCs/>
          <w:sz w:val="20"/>
          <w:szCs w:val="20"/>
        </w:rPr>
        <w:t>Bhangi in Manipuri Ras Dance</w:t>
      </w:r>
      <w:r>
        <w:rPr>
          <w:sz w:val="20"/>
          <w:szCs w:val="20"/>
        </w:rPr>
        <w:t>, Kh. Rashbihari Singh, Imphal, 1993, p. 3</w:t>
      </w:r>
    </w:p>
  </w:footnote>
  <w:footnote w:id="11">
    <w:p w14:paraId="000000A0" w14:textId="77777777" w:rsidR="005A6E57" w:rsidRDefault="009C1416">
      <w:pPr>
        <w:spacing w:line="240" w:lineRule="auto"/>
        <w:rPr>
          <w:sz w:val="20"/>
          <w:szCs w:val="20"/>
        </w:rPr>
      </w:pPr>
      <w:r>
        <w:rPr>
          <w:vertAlign w:val="superscript"/>
        </w:rPr>
        <w:footnoteRef/>
      </w:r>
      <w:r>
        <w:rPr>
          <w:sz w:val="20"/>
          <w:szCs w:val="20"/>
        </w:rPr>
        <w:t xml:space="preserve"> E. N. Singh, </w:t>
      </w:r>
      <w:r>
        <w:rPr>
          <w:i/>
          <w:iCs/>
          <w:sz w:val="20"/>
          <w:szCs w:val="20"/>
        </w:rPr>
        <w:t>Manipuri Dance</w:t>
      </w:r>
      <w:r>
        <w:rPr>
          <w:i/>
          <w:iCs/>
          <w:sz w:val="20"/>
          <w:szCs w:val="20"/>
        </w:rPr>
        <w:t>, O</w:t>
      </w:r>
      <w:r>
        <w:rPr>
          <w:sz w:val="20"/>
          <w:szCs w:val="20"/>
        </w:rPr>
        <w:t>msons Publications,</w:t>
      </w:r>
      <w:r>
        <w:rPr>
          <w:i/>
          <w:iCs/>
          <w:sz w:val="20"/>
          <w:szCs w:val="20"/>
        </w:rPr>
        <w:t xml:space="preserve"> </w:t>
      </w:r>
      <w:r>
        <w:rPr>
          <w:sz w:val="20"/>
          <w:szCs w:val="20"/>
        </w:rPr>
        <w:t>New Delhi, 1997, p.2</w:t>
      </w:r>
    </w:p>
  </w:footnote>
  <w:footnote w:id="12">
    <w:p w14:paraId="000000A3" w14:textId="77777777" w:rsidR="005A6E57" w:rsidRDefault="009C1416">
      <w:pPr>
        <w:spacing w:line="240" w:lineRule="auto"/>
        <w:rPr>
          <w:sz w:val="20"/>
          <w:szCs w:val="20"/>
        </w:rPr>
      </w:pPr>
      <w:r>
        <w:rPr>
          <w:vertAlign w:val="superscript"/>
        </w:rPr>
        <w:footnoteRef/>
      </w:r>
      <w:r>
        <w:rPr>
          <w:sz w:val="20"/>
          <w:szCs w:val="20"/>
        </w:rPr>
        <w:t xml:space="preserve"> E.N. Singh, </w:t>
      </w:r>
      <w:r>
        <w:rPr>
          <w:i/>
          <w:iCs/>
          <w:sz w:val="20"/>
          <w:szCs w:val="20"/>
        </w:rPr>
        <w:t>Aspects of Indian Culture</w:t>
      </w:r>
      <w:r>
        <w:rPr>
          <w:sz w:val="20"/>
          <w:szCs w:val="20"/>
        </w:rPr>
        <w:t>, Jawaharlal Nehru Manipuri Da</w:t>
      </w:r>
      <w:r>
        <w:rPr>
          <w:sz w:val="20"/>
          <w:szCs w:val="20"/>
        </w:rPr>
        <w:t>nce Academy, Imphal, 1962, p.38</w:t>
      </w:r>
    </w:p>
  </w:footnote>
  <w:footnote w:id="13">
    <w:p w14:paraId="000000A2" w14:textId="77777777" w:rsidR="005A6E57" w:rsidRDefault="009C1416">
      <w:pPr>
        <w:spacing w:line="240" w:lineRule="auto"/>
        <w:rPr>
          <w:sz w:val="20"/>
          <w:szCs w:val="20"/>
        </w:rPr>
      </w:pPr>
      <w:r>
        <w:rPr>
          <w:vertAlign w:val="superscript"/>
        </w:rPr>
        <w:footnoteRef/>
      </w:r>
      <w:r>
        <w:rPr>
          <w:sz w:val="20"/>
          <w:szCs w:val="20"/>
        </w:rPr>
        <w:t xml:space="preserve"> RKS Singh, </w:t>
      </w:r>
      <w:r>
        <w:rPr>
          <w:i/>
          <w:iCs/>
          <w:sz w:val="20"/>
          <w:szCs w:val="20"/>
        </w:rPr>
        <w:t>Manipuri</w:t>
      </w:r>
      <w:r>
        <w:rPr>
          <w:sz w:val="20"/>
          <w:szCs w:val="20"/>
        </w:rPr>
        <w:t>, Wisdom Tree, New Delhi, 2004, p. 55</w:t>
      </w:r>
    </w:p>
  </w:footnote>
  <w:footnote w:id="14">
    <w:p w14:paraId="000000AE" w14:textId="77777777" w:rsidR="005A6E57" w:rsidRDefault="009C1416">
      <w:pPr>
        <w:spacing w:line="240" w:lineRule="auto"/>
        <w:rPr>
          <w:sz w:val="20"/>
          <w:szCs w:val="20"/>
        </w:rPr>
      </w:pPr>
      <w:r>
        <w:rPr>
          <w:vertAlign w:val="superscript"/>
        </w:rPr>
        <w:footnoteRef/>
      </w:r>
      <w:r>
        <w:rPr>
          <w:sz w:val="20"/>
          <w:szCs w:val="20"/>
        </w:rPr>
        <w:t xml:space="preserve"> N. Pattabiraman, ed., Sruti Magazine,</w:t>
      </w:r>
      <w:r>
        <w:rPr>
          <w:i/>
          <w:iCs/>
          <w:sz w:val="20"/>
          <w:szCs w:val="20"/>
        </w:rPr>
        <w:t>Brouhaha Over Bipin Singh</w:t>
      </w:r>
      <w:r>
        <w:rPr>
          <w:sz w:val="20"/>
          <w:szCs w:val="20"/>
        </w:rPr>
        <w:t>, #68, May 1990,Pp. 15-16</w:t>
      </w:r>
    </w:p>
  </w:footnote>
  <w:footnote w:id="15">
    <w:p w14:paraId="000000A4" w14:textId="77777777" w:rsidR="005A6E57" w:rsidRDefault="009C1416">
      <w:pPr>
        <w:spacing w:line="240" w:lineRule="auto"/>
        <w:rPr>
          <w:sz w:val="20"/>
          <w:szCs w:val="20"/>
        </w:rPr>
      </w:pPr>
      <w:r>
        <w:rPr>
          <w:vertAlign w:val="superscript"/>
        </w:rPr>
        <w:footnoteRef/>
      </w:r>
      <w:r>
        <w:rPr>
          <w:sz w:val="20"/>
          <w:szCs w:val="20"/>
        </w:rPr>
        <w:t xml:space="preserve"> E.N. Singh op.cit 1982, p.34</w:t>
      </w:r>
    </w:p>
  </w:footnote>
  <w:footnote w:id="16">
    <w:p w14:paraId="000000A5" w14:textId="77777777" w:rsidR="005A6E57" w:rsidRDefault="009C1416">
      <w:pPr>
        <w:spacing w:line="240" w:lineRule="auto"/>
        <w:rPr>
          <w:sz w:val="20"/>
          <w:szCs w:val="20"/>
        </w:rPr>
      </w:pPr>
      <w:r>
        <w:rPr>
          <w:vertAlign w:val="superscript"/>
        </w:rPr>
        <w:footnoteRef/>
      </w:r>
      <w:r>
        <w:rPr>
          <w:sz w:val="20"/>
          <w:szCs w:val="20"/>
        </w:rPr>
        <w:t xml:space="preserve"> </w:t>
      </w:r>
      <w:r>
        <w:rPr>
          <w:i/>
          <w:iCs/>
        </w:rPr>
        <w:t>Traversing Tradition, Celebrating Dance in India</w:t>
      </w:r>
      <w:r>
        <w:t>,</w:t>
      </w:r>
      <w:r>
        <w:rPr>
          <w:i/>
          <w:iCs/>
        </w:rPr>
        <w:t xml:space="preserve"> </w:t>
      </w:r>
      <w:r>
        <w:t>Routledge, New Delhi,2011, pp. 216-217)</w:t>
      </w:r>
    </w:p>
  </w:footnote>
  <w:footnote w:id="17">
    <w:p w14:paraId="000000A6" w14:textId="77777777" w:rsidR="005A6E57" w:rsidRDefault="009C1416">
      <w:pPr>
        <w:spacing w:line="240" w:lineRule="auto"/>
        <w:rPr>
          <w:sz w:val="20"/>
          <w:szCs w:val="20"/>
        </w:rPr>
      </w:pPr>
      <w:r>
        <w:rPr>
          <w:vertAlign w:val="superscript"/>
        </w:rPr>
        <w:footnoteRef/>
      </w:r>
      <w:r>
        <w:rPr>
          <w:sz w:val="20"/>
          <w:szCs w:val="20"/>
        </w:rPr>
        <w:t xml:space="preserve"> K. Nongmaithem, D. Jirgensons, </w:t>
      </w:r>
      <w:r>
        <w:rPr>
          <w:i/>
          <w:iCs/>
          <w:sz w:val="20"/>
          <w:szCs w:val="20"/>
        </w:rPr>
        <w:t xml:space="preserve">Thang-Ta, The Martial Art of India, </w:t>
      </w:r>
      <w:r>
        <w:rPr>
          <w:sz w:val="20"/>
          <w:szCs w:val="20"/>
        </w:rPr>
        <w:t xml:space="preserve">in </w:t>
      </w:r>
      <w:r>
        <w:rPr>
          <w:i/>
          <w:iCs/>
          <w:sz w:val="20"/>
          <w:szCs w:val="20"/>
        </w:rPr>
        <w:t xml:space="preserve">Journal of Asian Martial Arts, </w:t>
      </w:r>
      <w:r>
        <w:rPr>
          <w:sz w:val="20"/>
          <w:szCs w:val="20"/>
        </w:rPr>
        <w:t>Via Media Publishing,Erie, 1998, Pp 52-53</w:t>
      </w:r>
    </w:p>
    <w:p w14:paraId="000000A7" w14:textId="77777777" w:rsidR="005A6E57" w:rsidRDefault="005A6E57">
      <w:pPr>
        <w:spacing w:line="240" w:lineRule="auto"/>
        <w:rPr>
          <w:sz w:val="20"/>
          <w:szCs w:val="20"/>
        </w:rPr>
      </w:pPr>
    </w:p>
    <w:p w14:paraId="000000A8" w14:textId="77777777" w:rsidR="005A6E57" w:rsidRDefault="005A6E57">
      <w:pPr>
        <w:spacing w:line="240" w:lineRule="auto"/>
        <w:rPr>
          <w:sz w:val="20"/>
          <w:szCs w:val="20"/>
        </w:rPr>
      </w:pPr>
    </w:p>
    <w:p w14:paraId="000000A9" w14:textId="77777777" w:rsidR="005A6E57" w:rsidRDefault="005A6E57">
      <w:pPr>
        <w:spacing w:line="240" w:lineRule="auto"/>
        <w:rPr>
          <w:sz w:val="20"/>
          <w:szCs w:val="20"/>
        </w:rPr>
      </w:pPr>
    </w:p>
    <w:p w14:paraId="000000AA" w14:textId="77777777" w:rsidR="005A6E57" w:rsidRDefault="005A6E57">
      <w:pPr>
        <w:spacing w:line="240" w:lineRule="auto"/>
        <w:rPr>
          <w:sz w:val="20"/>
          <w:szCs w:val="20"/>
        </w:rPr>
      </w:pPr>
    </w:p>
    <w:p w14:paraId="000000AB" w14:textId="77777777" w:rsidR="005A6E57" w:rsidRDefault="005A6E57">
      <w:pPr>
        <w:spacing w:line="240" w:lineRule="auto"/>
        <w:rPr>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319EC"/>
    <w:multiLevelType w:val="multilevel"/>
    <w:tmpl w:val="42BC9A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E57"/>
    <w:rsid w:val="005A6E57"/>
    <w:rsid w:val="009C1416"/>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CAFB52-1B0E-4F7F-AEDA-8FF04BDCE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150"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7388</Words>
  <Characters>42116</Characters>
  <Application>Microsoft Office Word</Application>
  <DocSecurity>4</DocSecurity>
  <Lines>350</Lines>
  <Paragraphs>98</Paragraphs>
  <ScaleCrop>false</ScaleCrop>
  <Company/>
  <LinksUpToDate>false</LinksUpToDate>
  <CharactersWithSpaces>49406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2026-04-28T07:14:00Z</dcterms:created>
  <dcterms:modified xsi:type="dcterms:W3CDTF">2026-04-28T07:14:00Z</dcterms:modified>
</cp:coreProperties>
</file>