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B3B38" w:rsidRDefault="00853F26">
      <w:pPr>
        <w:rPr>
          <w:b/>
          <w:bCs/>
          <w:u w:val="single"/>
        </w:rPr>
      </w:pPr>
      <w:r>
        <w:rPr>
          <w:b/>
          <w:bCs/>
          <w:u w:val="single"/>
        </w:rPr>
        <w:t>64th World Congress of Dance Research Athens, 1-5 July 2026 submission</w:t>
      </w:r>
    </w:p>
    <w:p w14:paraId="00000002" w14:textId="77777777" w:rsidR="00CB3B38" w:rsidRDefault="00CB3B38"/>
    <w:p w14:paraId="00000003" w14:textId="77777777" w:rsidR="00CB3B38" w:rsidRDefault="00CB3B38"/>
    <w:p w14:paraId="00000004" w14:textId="77777777" w:rsidR="00CB3B38" w:rsidRDefault="00853F26">
      <w:pPr>
        <w:numPr>
          <w:ilvl w:val="0"/>
          <w:numId w:val="1"/>
        </w:numPr>
      </w:pPr>
      <w:r>
        <w:t xml:space="preserve">Name: Jasmine Challis BSc </w:t>
      </w:r>
      <w:proofErr w:type="spellStart"/>
      <w:r>
        <w:t>MRes</w:t>
      </w:r>
      <w:proofErr w:type="spellEnd"/>
      <w:r>
        <w:t xml:space="preserve"> RD (SENR)</w:t>
      </w:r>
    </w:p>
    <w:p w14:paraId="00000005" w14:textId="77777777" w:rsidR="00CB3B38" w:rsidRDefault="00CB3B38">
      <w:pPr>
        <w:ind w:left="720"/>
      </w:pPr>
    </w:p>
    <w:p w14:paraId="00000006" w14:textId="77777777" w:rsidR="00CB3B38" w:rsidRDefault="00853F26">
      <w:pPr>
        <w:numPr>
          <w:ilvl w:val="0"/>
          <w:numId w:val="1"/>
        </w:numPr>
      </w:pPr>
      <w:r>
        <w:t xml:space="preserve">Brief profile/CV: Jasmine Challis BSc </w:t>
      </w:r>
      <w:proofErr w:type="spellStart"/>
      <w:r>
        <w:t>MRes</w:t>
      </w:r>
      <w:proofErr w:type="spellEnd"/>
      <w:r>
        <w:t xml:space="preserve"> RD (SENR), UK</w:t>
      </w:r>
    </w:p>
    <w:p w14:paraId="00000007" w14:textId="77777777" w:rsidR="00CB3B38" w:rsidRDefault="00853F26">
      <w:pPr>
        <w:ind w:left="720"/>
      </w:pPr>
      <w:r>
        <w:t>Biography: Jasmine is an Accredited Nutritionist and Registered Dietitian on the UK Sport and Exercise Nutrition Register (SENR) specialising in dance. She has worked across the dance field for over 35 years giving talks and running workshops for dance stu</w:t>
      </w:r>
      <w:r>
        <w:t xml:space="preserve">dents, dancers, dance teachers and dance scientists, and providing 1:1 </w:t>
      </w:r>
      <w:proofErr w:type="gramStart"/>
      <w:r>
        <w:t>sessions</w:t>
      </w:r>
      <w:proofErr w:type="gramEnd"/>
      <w:r>
        <w:t xml:space="preserve"> for dancers and dance students. She has worked with those involved in many dance genres, including ballet, contemporary dance, musical theatre, Irish dance and Indian dance. Sh</w:t>
      </w:r>
      <w:r>
        <w:t xml:space="preserve">e is nutrition consultant for the Dance UK Information ‘Nutrition for Dancers’ and is co-author of the International Association for Dance Medicine and Science (IADMS) Nutrition Resource Paper (2019) and 2026 update to be published shortly, as well as the </w:t>
      </w:r>
      <w:r>
        <w:t xml:space="preserve">Nutrition chapters in a number of dancer health books. She is on the board of The Bridge Dance Project.  She has presented at the IADMS annual conference regularly.  She completed a </w:t>
      </w:r>
      <w:proofErr w:type="spellStart"/>
      <w:r>
        <w:t>MRes</w:t>
      </w:r>
      <w:proofErr w:type="spellEnd"/>
      <w:r>
        <w:t xml:space="preserve"> in Sport and Exercise Science (with distinction) in 2018, her researc</w:t>
      </w:r>
      <w:r>
        <w:t>h project was with Irish dancers. She has also worked with circus performers and acting/technical theatre students, has contributed to medical and dietetic textbooks and worked clinically mainly with those suffering from eating disorders for over 30 years.</w:t>
      </w:r>
      <w:r>
        <w:t xml:space="preserve"> Her own book, ‘Nutrition for Dance and Performance’ was published in summer 2023.</w:t>
      </w:r>
    </w:p>
    <w:p w14:paraId="00000008" w14:textId="77777777" w:rsidR="00CB3B38" w:rsidRDefault="00CB3B38"/>
    <w:p w14:paraId="00000009" w14:textId="77777777" w:rsidR="00CB3B38" w:rsidRDefault="00853F26">
      <w:pPr>
        <w:numPr>
          <w:ilvl w:val="0"/>
          <w:numId w:val="1"/>
        </w:numPr>
        <w:rPr>
          <w:b/>
          <w:bCs/>
        </w:rPr>
      </w:pPr>
      <w:r>
        <w:rPr>
          <w:b/>
          <w:bCs/>
        </w:rPr>
        <w:t>Title: Dance Nutrition – what has research shown over the past 100 years, and what is best practice now?</w:t>
      </w:r>
    </w:p>
    <w:p w14:paraId="0000000A" w14:textId="77777777" w:rsidR="00CB3B38" w:rsidRDefault="00853F26">
      <w:r>
        <w:t xml:space="preserve">           20 mins including questions.  Lecture demonstration</w:t>
      </w:r>
    </w:p>
    <w:p w14:paraId="0000000B" w14:textId="77777777" w:rsidR="00CB3B38" w:rsidRDefault="00853F26">
      <w:pPr>
        <w:numPr>
          <w:ilvl w:val="0"/>
          <w:numId w:val="1"/>
        </w:numPr>
      </w:pPr>
      <w:r>
        <w:t>Intr</w:t>
      </w:r>
      <w:r>
        <w:t>oduction</w:t>
      </w:r>
    </w:p>
    <w:p w14:paraId="0000000C" w14:textId="77777777" w:rsidR="00CB3B38" w:rsidRDefault="00853F26">
      <w:r>
        <w:t xml:space="preserve">Nutrition is a relatively young science – and can also be viewed as an art, as the world of nutrition is multi-coloured, not black and white. While knowledge about the macronutrients – protein, fat </w:t>
      </w:r>
      <w:proofErr w:type="gramStart"/>
      <w:r>
        <w:t>and  carbohydrate</w:t>
      </w:r>
      <w:proofErr w:type="gramEnd"/>
      <w:r>
        <w:t xml:space="preserve"> has  existed for over 200 years</w:t>
      </w:r>
      <w:r>
        <w:t xml:space="preserve">, this is not the case for many of the micronutrients - the vitamins and minerals essential for dancer health. And within the </w:t>
      </w:r>
      <w:proofErr w:type="gramStart"/>
      <w:r>
        <w:t>macronutrients</w:t>
      </w:r>
      <w:proofErr w:type="gramEnd"/>
      <w:r>
        <w:t xml:space="preserve"> knowledge is still evolving - for example definitions and understanding of dietary fibre are regularly updating, wi</w:t>
      </w:r>
      <w:r>
        <w:t>th adjustments to recommendations for health.</w:t>
      </w:r>
    </w:p>
    <w:p w14:paraId="0000000D" w14:textId="77777777" w:rsidR="00CB3B38" w:rsidRDefault="00CB3B38"/>
    <w:p w14:paraId="0000000E" w14:textId="77777777" w:rsidR="00CB3B38" w:rsidRDefault="00853F26">
      <w:pPr>
        <w:numPr>
          <w:ilvl w:val="0"/>
          <w:numId w:val="1"/>
        </w:numPr>
      </w:pPr>
      <w:r>
        <w:t>More detail and specific examples and recommendations</w:t>
      </w:r>
    </w:p>
    <w:p w14:paraId="0000000F" w14:textId="77777777" w:rsidR="00CB3B38" w:rsidRDefault="00853F26">
      <w:r>
        <w:t>Dietary fibre is described by the British Dietetic Association (BDA) as: ‘the part of plants that you eat but which doesn't get digested in your small inte</w:t>
      </w:r>
      <w:r>
        <w:t>stine. Instead, it is completely or partially broken down (fermented) by bacteria in your large intestine. Fibre includes carbohydrates called polysaccharides and resistant oligosaccharides (ROS</w:t>
      </w:r>
      <w:proofErr w:type="gramStart"/>
      <w:r>
        <w:t>).Recent</w:t>
      </w:r>
      <w:proofErr w:type="gramEnd"/>
      <w:r>
        <w:t xml:space="preserve"> research </w:t>
      </w:r>
      <w:r>
        <w:lastRenderedPageBreak/>
        <w:t>suggests that fibre should be categorised by</w:t>
      </w:r>
      <w:r>
        <w:t xml:space="preserve"> its physical characteristics; how well it dissolves (solubility), how thick it is (viscosity) and how well it breaks down (fermentability). Different types of fibre include: soluble fibre such as </w:t>
      </w:r>
      <w:proofErr w:type="spellStart"/>
      <w:r>
        <w:t>pectins</w:t>
      </w:r>
      <w:proofErr w:type="spellEnd"/>
      <w:r>
        <w:t xml:space="preserve"> and beta glucans found in foods like fruit and oats</w:t>
      </w:r>
      <w:r>
        <w:t>.</w:t>
      </w:r>
    </w:p>
    <w:p w14:paraId="00000010" w14:textId="77777777" w:rsidR="00CB3B38" w:rsidRDefault="00853F26">
      <w:r>
        <w:t>Insoluble fibre including cellulose which is found in wheat bran and nuts.</w:t>
      </w:r>
    </w:p>
    <w:p w14:paraId="00000011" w14:textId="77777777" w:rsidR="00CB3B38" w:rsidRDefault="00853F26">
      <w:r>
        <w:t>Resistant starch (RS) is a soluble fibre that is highly fermentable in the gut. It gets broken down by good bacteria to produce short chain fatty acids (SCFAs). RS is naturally pr</w:t>
      </w:r>
      <w:r>
        <w:t xml:space="preserve">esent in some foods such as bananas, potatoes, grains and pulses and is created by cooking and cooking starchy foods such as rice, pasta and potatoes. While resistant starch supports healthy gut bacteria, some people with Irritable </w:t>
      </w:r>
      <w:proofErr w:type="spellStart"/>
      <w:r>
        <w:t>bowl</w:t>
      </w:r>
      <w:proofErr w:type="spellEnd"/>
      <w:r>
        <w:t xml:space="preserve"> </w:t>
      </w:r>
      <w:proofErr w:type="spellStart"/>
      <w:r>
        <w:t>syndrom</w:t>
      </w:r>
      <w:proofErr w:type="spellEnd"/>
      <w:r>
        <w:t xml:space="preserve"> find it wor</w:t>
      </w:r>
      <w:r>
        <w:t>sens symptoms, in which case it may be more comfortable to avoid eating cooked and cooled or reheated pasta, rice and potatoes.</w:t>
      </w:r>
    </w:p>
    <w:p w14:paraId="00000012" w14:textId="77777777" w:rsidR="00CB3B38" w:rsidRDefault="00853F26">
      <w:r>
        <w:t xml:space="preserve">Prebiotics are types of carbohydrate that only our gut bacteria can feed upon. Some examples are carbohydrates found in onions, </w:t>
      </w:r>
      <w:r>
        <w:t>garlic, asparagus and banana.</w:t>
      </w:r>
    </w:p>
    <w:p w14:paraId="00000013" w14:textId="77777777" w:rsidR="00CB3B38" w:rsidRDefault="00853F26">
      <w:r>
        <w:t xml:space="preserve">Recommendations on the best foods to help resolve constipation have also recently been reviewed, and it is now recognised that two kiwi fruit per day can help those experiencing constipation. </w:t>
      </w:r>
    </w:p>
    <w:p w14:paraId="00000014" w14:textId="77777777" w:rsidR="00CB3B38" w:rsidRDefault="00CB3B38"/>
    <w:p w14:paraId="00000015" w14:textId="77777777" w:rsidR="00CB3B38" w:rsidRDefault="00853F26">
      <w:r>
        <w:t xml:space="preserve"> Vitamin D was for many years th</w:t>
      </w:r>
      <w:r>
        <w:t>ought to be essential for calcium absorption and for bone health, but in the last twenty years or so it has been identified as being important for effective muscle recovery after injury in dancers, has a role in how well the immune system works. A number o</w:t>
      </w:r>
      <w:r>
        <w:t>f other health conditions potentially affected by low Vitamin D, including that low vitamin D levels and depression seem to be linked though more research is needed.</w:t>
      </w:r>
    </w:p>
    <w:p w14:paraId="00000016" w14:textId="77777777" w:rsidR="00CB3B38" w:rsidRDefault="00853F26">
      <w:r>
        <w:t xml:space="preserve">Back in 1926, the first transatlantic phone call between London and New York was </w:t>
      </w:r>
      <w:proofErr w:type="gramStart"/>
      <w:r>
        <w:t>made  -</w:t>
      </w:r>
      <w:proofErr w:type="gramEnd"/>
      <w:r>
        <w:t xml:space="preserve"> v</w:t>
      </w:r>
      <w:r>
        <w:t>ia radio waves initially before an undersea cable was laid. Although the chemical compound riboflavin was known before 1926, it was not formerly identified and named as Vitamin B</w:t>
      </w:r>
      <w:proofErr w:type="gramStart"/>
      <w:r>
        <w:t>2  until</w:t>
      </w:r>
      <w:proofErr w:type="gramEnd"/>
      <w:r>
        <w:t xml:space="preserve"> after - in 1926  - </w:t>
      </w:r>
      <w:proofErr w:type="spellStart"/>
      <w:r>
        <w:t>Thiamin</w:t>
      </w:r>
      <w:proofErr w:type="spellEnd"/>
      <w:r>
        <w:t xml:space="preserve"> - Vitamin B1 was identified - essential in</w:t>
      </w:r>
      <w:r>
        <w:t xml:space="preserve"> carbohydrate metabolism, but fortunately widely distributed in foods, including in some carbohydrate rich foods such as grains. Most of the other vitamins - A, the other B group vitamins, Vitamin C, D, E and K were identified over the next 25 years or so.</w:t>
      </w:r>
      <w:r>
        <w:t xml:space="preserve"> </w:t>
      </w:r>
    </w:p>
    <w:p w14:paraId="00000017" w14:textId="77777777" w:rsidR="00CB3B38" w:rsidRDefault="00853F26">
      <w:r>
        <w:t>The mineral iron, the fourth most abundant mineral in the planet earth, was identified in red blood cells back in the 18th century, although had been used in health treatments way back around 1000BC. The investigation of the roles of iron in the body con</w:t>
      </w:r>
      <w:r>
        <w:t>tinued from the 18th century well into the 20th century, Iron metabolism in the body is complex - iron is required for many body processes, and understanding is ongoing. Only very recently have recommendations for normal levels of ferritin - the storage fo</w:t>
      </w:r>
      <w:r>
        <w:t>rm of iron in the body - been adjusted (though still not everywhere) to reflect that low levels, which in women have been classed as ‘normal’, in fact reflect an almost complete lack of iron stores in the body. On a practical note female dancers, especiall</w:t>
      </w:r>
      <w:r>
        <w:t xml:space="preserve">y pre-menopausal, vegetarian and vegan individuals, who are experiencing unusual fatigue and see their GP, are advised to check that tests </w:t>
      </w:r>
      <w:proofErr w:type="gramStart"/>
      <w:r>
        <w:t>including  haemoglobin</w:t>
      </w:r>
      <w:proofErr w:type="gramEnd"/>
      <w:r>
        <w:t xml:space="preserve"> and ferritin levels are included. It is possible to not be anaemic - </w:t>
      </w:r>
      <w:proofErr w:type="spellStart"/>
      <w:r>
        <w:t>i.e</w:t>
      </w:r>
      <w:proofErr w:type="spellEnd"/>
      <w:r>
        <w:t xml:space="preserve"> to have normal red bl</w:t>
      </w:r>
      <w:r>
        <w:t xml:space="preserve">ood cells - but to have very low ferritin levels. Optimal ferritin levels for </w:t>
      </w:r>
      <w:r>
        <w:lastRenderedPageBreak/>
        <w:t xml:space="preserve">energy and health are often cited between 70 and 100 µg/L, and this is a good goal for dancers to aim </w:t>
      </w:r>
      <w:proofErr w:type="gramStart"/>
      <w:r>
        <w:t>for,  though</w:t>
      </w:r>
      <w:proofErr w:type="gramEnd"/>
      <w:r>
        <w:t xml:space="preserve"> 15µg/L for women has been regarded as acceptable until very rec</w:t>
      </w:r>
      <w:r>
        <w:t xml:space="preserve">ently. </w:t>
      </w:r>
    </w:p>
    <w:p w14:paraId="00000018" w14:textId="77777777" w:rsidR="00CB3B38" w:rsidRDefault="00853F26">
      <w:r>
        <w:t xml:space="preserve">Calcium is the mineral most abundant in the human body. Around 2% of the human body is calcium - not just in teeth and bones, but also in muscles, where it regulated muscle contraction, including heart muscle, and in the blood, where it is part of </w:t>
      </w:r>
      <w:r>
        <w:t>the blood clotting process. For dancers, at risk of low bone density, including calcium rich foods daily is important. Often people think that if blood levels of calcium are normal then their body has enough calcium. But, because calcium is so essential fo</w:t>
      </w:r>
      <w:r>
        <w:t>r heart function, if dietary intake is low, the body will take calcium from bones to maintain blood levels. Part of bone health is of course weight bearing exercise - including dance - but there is a third component which is often overlooked. Normal hormon</w:t>
      </w:r>
      <w:r>
        <w:t xml:space="preserve">e levels are essential for bone health for both males and females. Female bone mineral density (BMD) is typically lower than male, and while BMD levels should rise until the early to </w:t>
      </w:r>
      <w:proofErr w:type="spellStart"/>
      <w:r>
        <w:t>mid 30</w:t>
      </w:r>
      <w:proofErr w:type="spellEnd"/>
      <w:r>
        <w:t>’s, after that increases are unlikely though reports of improvement</w:t>
      </w:r>
      <w:r>
        <w:t xml:space="preserve">s from carefully exercising using weights are positive. BMD falls from midlife on, and post </w:t>
      </w:r>
      <w:proofErr w:type="spellStart"/>
      <w:r>
        <w:t>menopausally</w:t>
      </w:r>
      <w:proofErr w:type="spellEnd"/>
      <w:r>
        <w:t xml:space="preserve"> there is typically a greater rate of loss in women. Any female dancer who has had times when their periods stopped, or were very irregular, should ask </w:t>
      </w:r>
      <w:r>
        <w:t xml:space="preserve">for a DEXA BMD scan to check how their bones are coping. Treating with the oral contraceptive pill does not compensate for low hormone levels caused typically by low body weight, high levels of exercise, and being </w:t>
      </w:r>
      <w:proofErr w:type="spellStart"/>
      <w:r>
        <w:t>underfuelled</w:t>
      </w:r>
      <w:proofErr w:type="spellEnd"/>
      <w:r>
        <w:t xml:space="preserve"> (which may have been unintent</w:t>
      </w:r>
      <w:r>
        <w:t xml:space="preserve">ional due to workload). For now, ensuring adequate calcium from 2-3+ servings of dairy (or fortified dairy alternatives) per day is a strategy that ensures the bones have access to adequate calcium. Here in </w:t>
      </w:r>
      <w:proofErr w:type="gramStart"/>
      <w:r>
        <w:t>Greece</w:t>
      </w:r>
      <w:proofErr w:type="gramEnd"/>
      <w:r>
        <w:t xml:space="preserve"> there are some fabulous options with feta </w:t>
      </w:r>
      <w:r>
        <w:t xml:space="preserve">and halloumi cheese, and other fabulous cheeses, as well as yoghurts from any of </w:t>
      </w:r>
      <w:proofErr w:type="spellStart"/>
      <w:r>
        <w:t>sheeps</w:t>
      </w:r>
      <w:proofErr w:type="spellEnd"/>
      <w:r>
        <w:t xml:space="preserve">, goats or </w:t>
      </w:r>
      <w:proofErr w:type="spellStart"/>
      <w:r>
        <w:t>cows</w:t>
      </w:r>
      <w:proofErr w:type="spellEnd"/>
      <w:r>
        <w:t xml:space="preserve"> milk. For those not including dairy, fortified soya milk and soya yoghurt are great alternatives. Not all dairy replacements are fortified with calcium, </w:t>
      </w:r>
      <w:r>
        <w:t>and some lack much of the nutrition found in milk, cheese and yoghurt. Vegans in the UK and other countries where salt is not iodised routinely and encouraged to opt for dairy alternatives that include iodine as well as calcium. Vitamin B12 is a further nu</w:t>
      </w:r>
      <w:r>
        <w:t>trient that vegans need to focus on: the higher prevalence of those following vegan diets has resulted in more cases of deficiency. Dancers travelling internationally will find that food fortification varies between countries, and time spent exploring thos</w:t>
      </w:r>
      <w:r>
        <w:t xml:space="preserve">e changes will help ensure nutrition requirements are met. This process can also be a very enjoyable process - while food is fuel, the aim is for enjoyable fuel, and of course food has a social role outside that of providing essential nutrients. </w:t>
      </w:r>
    </w:p>
    <w:p w14:paraId="00000019" w14:textId="77777777" w:rsidR="00CB3B38" w:rsidRDefault="00853F26">
      <w:pPr>
        <w:numPr>
          <w:ilvl w:val="0"/>
          <w:numId w:val="1"/>
        </w:numPr>
      </w:pPr>
      <w:r>
        <w:t>The impor</w:t>
      </w:r>
      <w:r>
        <w:t>tance and the challenges of hydration for dancers</w:t>
      </w:r>
    </w:p>
    <w:p w14:paraId="0000001A" w14:textId="77777777" w:rsidR="00CB3B38" w:rsidRDefault="00853F26">
      <w:r>
        <w:t>Water has been recognised as necessary for human health for centuries. Hippocrates (460-354 B.C.) promoted the importance of water in the maintenance of health, but he also prescribed that rain water should</w:t>
      </w:r>
      <w:r>
        <w:t xml:space="preserve"> be boiled and strained. The cloth bag that he recommended for straining became known in later times as "Hippocrates' sleeve." Using fine material to filter water containing large particles is likely to have removed some of the potential contamination that</w:t>
      </w:r>
      <w:r>
        <w:t xml:space="preserve"> could cause illness, and boiling would have destroyed many harmful bacteria. </w:t>
      </w:r>
    </w:p>
    <w:p w14:paraId="0000001B" w14:textId="77777777" w:rsidR="00CB3B38" w:rsidRDefault="00853F26">
      <w:r>
        <w:t>Adequate, safe drinking water even today is not guaranteed globally. While some of you come from countries where safe drinking water from a tap is generally constantly available</w:t>
      </w:r>
      <w:r>
        <w:t>, others come from countries where this is far from the norm outside major cities, and even in major cities tap water may not be consistently safe. My research suggests the Athens tap water may taste different to that which many of us are used to, as it ha</w:t>
      </w:r>
      <w:r>
        <w:t xml:space="preserve">s different minerals in, but it is sourced from nearby lakes and mountains and is tested and treated and fine to drink. </w:t>
      </w:r>
      <w:proofErr w:type="gramStart"/>
      <w:r>
        <w:t>However</w:t>
      </w:r>
      <w:proofErr w:type="gramEnd"/>
      <w:r>
        <w:t xml:space="preserve"> </w:t>
      </w:r>
      <w:r>
        <w:lastRenderedPageBreak/>
        <w:t>anyone off to explore any islands will need to plan their hydration more carefully as tap water may not be safe to drink. And th</w:t>
      </w:r>
      <w:r>
        <w:t xml:space="preserve">ose who find that the changes in the mineral content of water from place to place disturbs their digestive system are generally safer to use a consistent brand of bottled water. </w:t>
      </w:r>
    </w:p>
    <w:p w14:paraId="0000001C" w14:textId="77777777" w:rsidR="00CB3B38" w:rsidRDefault="00853F26">
      <w:r>
        <w:t xml:space="preserve">There has been debate recently about the longstanding recommendations of 6-8 </w:t>
      </w:r>
      <w:r>
        <w:t xml:space="preserve">glasses or 1500-2500ml fluid per day, but what is known is that we need to produce around 1000ml urine per day and we lose around 500ml additionally from breath, the skin and the gut, even at rest. We do get some fluid from food, depending on food </w:t>
      </w:r>
      <w:proofErr w:type="gramStart"/>
      <w:r>
        <w:t>choices,</w:t>
      </w:r>
      <w:r>
        <w:t xml:space="preserve">  and</w:t>
      </w:r>
      <w:proofErr w:type="gramEnd"/>
      <w:r>
        <w:t xml:space="preserve"> also we produce some water from the metabolism of carbohydrates and fats, which for dancers could amount to around 200-300ml per day. Once activity starts, fluid losses start to increase, though sweat rates were established to vary widely in the 1960</w:t>
      </w:r>
      <w:r>
        <w:t>’s and 1970’s and again more recently in 2007. Sweating is the main route by which humans lose the heat produced during exercise, to avoid the body overheating and performance being compromised.  Sweat rates are typically 0.5- 2.0 litres/hour, with those w</w:t>
      </w:r>
      <w:r>
        <w:t>ith greater muscle volume producing more heat and thus need to sweat more to lose this heat. Some dancers may sweat less than this - the lowest rates in other physical activity are reported as 200-300ml/hour, and some more - over 3000ml per hour has been r</w:t>
      </w:r>
      <w:r>
        <w:t>ecorded for some athletes. It has been established for some 30-40 years that the ability to do physical work - for example a dance class, rehearsal, or performance, is impaired once dehydration rises above 2% of an individual's bodyweight. Some dancers may</w:t>
      </w:r>
      <w:r>
        <w:t xml:space="preserve"> be able to tolerate a greater amount of dehydration, but many will be impacted from 2%, which equates to around 1000-1500ml of fluid lost (usually via sweat) that hasn’t been replaced. The fluid most usually used for hydration, and still the best for low </w:t>
      </w:r>
      <w:r>
        <w:t>levels of activity in cooler climates, is water. Caffeine from tea and coffee has historically had a fair amount of criticism, but in fact caffeine in drinks up to 3-4 normal strength drinks (total) of tea and coffee will be used effectively to replace flu</w:t>
      </w:r>
      <w:r>
        <w:t xml:space="preserve">id, and caffeine can enhance alertness and if timed correctly, can help performance feel easier. Currently there are many brands of electrolytes available in effervescent tablets or powder, or in gels, to aid hydration. A small </w:t>
      </w:r>
      <w:proofErr w:type="gramStart"/>
      <w:r>
        <w:t>amount</w:t>
      </w:r>
      <w:proofErr w:type="gramEnd"/>
      <w:r>
        <w:t xml:space="preserve"> of salts and sugars c</w:t>
      </w:r>
      <w:r>
        <w:t>an allow water to be absorbed more quickly than plain water alone. Dental hygiene needs to be considered if drinks/</w:t>
      </w:r>
      <w:proofErr w:type="gramStart"/>
      <w:r>
        <w:t>gels  have</w:t>
      </w:r>
      <w:proofErr w:type="gramEnd"/>
      <w:r>
        <w:t xml:space="preserve"> sugar in, with a small amount of  water being taken after a drink with sugar in. Rehydration products, and indeed all sports </w:t>
      </w:r>
      <w:proofErr w:type="gramStart"/>
      <w:r>
        <w:t>produ</w:t>
      </w:r>
      <w:r>
        <w:t>cts ,</w:t>
      </w:r>
      <w:proofErr w:type="gramEnd"/>
      <w:r>
        <w:t xml:space="preserve"> need to be checked against the relevant national list of tested products to ensure no unwanted substances are taken inadvertently. Only this century </w:t>
      </w:r>
      <w:proofErr w:type="gramStart"/>
      <w:r>
        <w:t>have</w:t>
      </w:r>
      <w:proofErr w:type="gramEnd"/>
      <w:r>
        <w:t xml:space="preserve"> dancers become more familiar with sports products, with the knowledge that optimising fuelling f</w:t>
      </w:r>
      <w:r>
        <w:t xml:space="preserve">or performance is challenging at times, and products designed to be easy to take in sports scenarios can equally be used in difficult time scheduling for dancers. </w:t>
      </w:r>
    </w:p>
    <w:p w14:paraId="0000001D" w14:textId="77777777" w:rsidR="00CB3B38" w:rsidRDefault="00CB3B38"/>
    <w:p w14:paraId="0000001E" w14:textId="77777777" w:rsidR="00CB3B38" w:rsidRDefault="00CB3B38"/>
    <w:p w14:paraId="0000001F" w14:textId="77777777" w:rsidR="00CB3B38" w:rsidRDefault="00CB3B38"/>
    <w:p w14:paraId="00000020" w14:textId="77777777" w:rsidR="00CB3B38" w:rsidRDefault="00CB3B38"/>
    <w:p w14:paraId="00000021" w14:textId="77777777" w:rsidR="00CB3B38" w:rsidRDefault="00CB3B38"/>
    <w:p w14:paraId="00000022" w14:textId="77777777" w:rsidR="00CB3B38" w:rsidRDefault="00CB3B38"/>
    <w:p w14:paraId="00000023" w14:textId="77777777" w:rsidR="00CB3B38" w:rsidRDefault="00CB3B38"/>
    <w:p w14:paraId="00000024" w14:textId="77777777" w:rsidR="00CB3B38" w:rsidRDefault="00853F26">
      <w:r>
        <w:t>Reference sources:</w:t>
      </w:r>
    </w:p>
    <w:p w14:paraId="00000025" w14:textId="77777777" w:rsidR="00CB3B38" w:rsidRDefault="00853F26">
      <w:hyperlink r:id="rId6">
        <w:r>
          <w:rPr>
            <w:color w:val="1155CC"/>
            <w:u w:val="single"/>
          </w:rPr>
          <w:t>https://www.ncbi.nlm.nih.gov/books/NBK234165/</w:t>
        </w:r>
      </w:hyperlink>
    </w:p>
    <w:p w14:paraId="00000026" w14:textId="77777777" w:rsidR="00CB3B38" w:rsidRDefault="00853F26">
      <w:r>
        <w:t>British Dietetic Association website</w:t>
      </w:r>
    </w:p>
    <w:p w14:paraId="00000027" w14:textId="77777777" w:rsidR="00CB3B38" w:rsidRDefault="00853F26">
      <w:hyperlink r:id="rId7">
        <w:r>
          <w:rPr>
            <w:color w:val="1155CC"/>
            <w:u w:val="single"/>
          </w:rPr>
          <w:t>https://pmc.ncbi.nlm.nih.gov/articles/PMC</w:t>
        </w:r>
        <w:r>
          <w:rPr>
            <w:color w:val="1155CC"/>
            <w:u w:val="single"/>
          </w:rPr>
          <w:t>3258305/</w:t>
        </w:r>
      </w:hyperlink>
    </w:p>
    <w:p w14:paraId="00000028" w14:textId="77777777" w:rsidR="00CB3B38" w:rsidRDefault="00853F26">
      <w:hyperlink r:id="rId8">
        <w:r>
          <w:rPr>
            <w:color w:val="1155CC"/>
            <w:u w:val="single"/>
          </w:rPr>
          <w:t>https://ods.od.nih.gov/factsheets/VitaminD-HealthProfessional/</w:t>
        </w:r>
      </w:hyperlink>
    </w:p>
    <w:p w14:paraId="00000029" w14:textId="77777777" w:rsidR="00CB3B38" w:rsidRDefault="00853F26">
      <w:hyperlink r:id="rId9">
        <w:r>
          <w:rPr>
            <w:color w:val="1155CC"/>
            <w:u w:val="single"/>
          </w:rPr>
          <w:t>https://www.nhs.uk/con</w:t>
        </w:r>
        <w:r>
          <w:rPr>
            <w:color w:val="1155CC"/>
            <w:u w:val="single"/>
          </w:rPr>
          <w:t>ditions/vitamins-and-minerals/calcium/</w:t>
        </w:r>
      </w:hyperlink>
    </w:p>
    <w:p w14:paraId="0000002A" w14:textId="77777777" w:rsidR="00CB3B38" w:rsidRDefault="00853F26">
      <w:r>
        <w:t>https://www.doctorgreece.gr/about-us/</w:t>
      </w:r>
    </w:p>
    <w:p w14:paraId="0000002B" w14:textId="77777777" w:rsidR="00CB3B38" w:rsidRDefault="00853F26">
      <w:r>
        <w:t xml:space="preserve">American College of Sports Medicine; Sawka MN, Burke LM, Eichner ER, Maughan RJ, </w:t>
      </w:r>
      <w:proofErr w:type="spellStart"/>
      <w:r>
        <w:t>Montain</w:t>
      </w:r>
      <w:proofErr w:type="spellEnd"/>
      <w:r>
        <w:t xml:space="preserve"> SJ, </w:t>
      </w:r>
      <w:proofErr w:type="spellStart"/>
      <w:r>
        <w:t>Stachenfeld</w:t>
      </w:r>
      <w:proofErr w:type="spellEnd"/>
      <w:r>
        <w:t xml:space="preserve"> NS. American College of Sports Medicine position stand. Exercise and fluid</w:t>
      </w:r>
      <w:r>
        <w:t xml:space="preserve"> replacement. Med Sci Sports </w:t>
      </w:r>
      <w:proofErr w:type="spellStart"/>
      <w:r>
        <w:t>Exerc</w:t>
      </w:r>
      <w:proofErr w:type="spellEnd"/>
      <w:r>
        <w:t xml:space="preserve">. 2007 Feb;39(2):377-90. </w:t>
      </w:r>
      <w:proofErr w:type="spellStart"/>
      <w:r>
        <w:t>doi</w:t>
      </w:r>
      <w:proofErr w:type="spellEnd"/>
      <w:r>
        <w:t>: 10.1249/mss.0b013e31802ca597. PMID: 17277604.</w:t>
      </w:r>
    </w:p>
    <w:p w14:paraId="0000002C" w14:textId="77777777" w:rsidR="00CB3B38" w:rsidRDefault="00853F26">
      <w:r>
        <w:t xml:space="preserve">Institute of Medicine (US) Committee on Military Nutrition Research; Marriott BM, editor. Nutritional Needs in Hot Environments: Applications for </w:t>
      </w:r>
      <w:r>
        <w:t>Military Personnel in Field Operations. Washington (DC): National Academies Press (US); 1993. 5, Water Requirements During Exercise in the Heat. Available from: https://www.ncbi.nlm.nih.gov/books/NBK236237/</w:t>
      </w:r>
    </w:p>
    <w:sectPr w:rsidR="00CB3B3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E68D6E9-1A09-41F7-BB31-0A0BDBC84621}"/>
    <w:embedBold r:id="rId2" w:fontKey="{4633CDF8-5214-4A0D-89B5-20EEDD05CBB9}"/>
    <w:embedItalic r:id="rId3" w:fontKey="{4455AF13-D4D8-46D2-8A9D-3C258F7CA575}"/>
  </w:font>
  <w:font w:name="Play">
    <w:charset w:val="00"/>
    <w:family w:val="auto"/>
    <w:pitch w:val="default"/>
    <w:embedRegular r:id="rId4" w:fontKey="{DF8FDF50-4821-40E8-A6BD-19413B8AF01D}"/>
  </w:font>
  <w:font w:name="Calibri">
    <w:panose1 w:val="020F0502020204030204"/>
    <w:charset w:val="A1"/>
    <w:family w:val="swiss"/>
    <w:pitch w:val="variable"/>
    <w:sig w:usb0="E4002EFF" w:usb1="C000247B" w:usb2="00000009" w:usb3="00000000" w:csb0="000001FF" w:csb1="00000000"/>
    <w:embedRegular r:id="rId5" w:fontKey="{DDA31095-D27A-476B-BF66-2CD01FF12173}"/>
  </w:font>
  <w:font w:name="Cambria">
    <w:panose1 w:val="02040503050406030204"/>
    <w:charset w:val="A1"/>
    <w:family w:val="roman"/>
    <w:pitch w:val="variable"/>
    <w:sig w:usb0="E00006FF" w:usb1="420024FF" w:usb2="02000000" w:usb3="00000000" w:csb0="0000019F" w:csb1="00000000"/>
    <w:embedRegular r:id="rId6" w:fontKey="{50B9B379-BEDC-4167-9057-792F354304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53742"/>
    <w:multiLevelType w:val="multilevel"/>
    <w:tmpl w:val="9FCCC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B38"/>
    <w:rsid w:val="001B1945"/>
    <w:rsid w:val="007C0012"/>
    <w:rsid w:val="00853F26"/>
    <w:rsid w:val="00CB3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C1D2D-2845-4FE1-A07D-343C73E6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ds.od.nih.gov/factsheets/VitaminD-HealthProfessional/" TargetMode="External"/><Relationship Id="rId3" Type="http://schemas.openxmlformats.org/officeDocument/2006/relationships/styles" Target="styles.xml"/><Relationship Id="rId7" Type="http://schemas.openxmlformats.org/officeDocument/2006/relationships/hyperlink" Target="https://pmc.ncbi.nlm.nih.gov/articles/PMC32583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books/NBK23416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conditions/vitamins-and-minerals/calciu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e4U3slEUZNrY8opxe4qMQO2sQ==">CgMxLjA4AHIhMVZYUnUzS0p1dS1LcW4xY0JoenA3d04yMDRrTmltNWxZ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2186</Words>
  <Characters>12465</Characters>
  <Application>Microsoft Office Word</Application>
  <DocSecurity>4</DocSecurity>
  <Lines>103</Lines>
  <Paragraphs>29</Paragraphs>
  <ScaleCrop>false</ScaleCrop>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2026-08-03T06:47:00Z</dcterms:created>
  <dcterms:modified xsi:type="dcterms:W3CDTF">2026-08-03T06:47:00Z</dcterms:modified>
</cp:coreProperties>
</file>